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color w:val="000000"/>
          <w:sz w:val="28"/>
          <w:szCs w:val="28"/>
        </w:rPr>
        <w:t>Пояснительная записка к Прогнозу СЭР МО</w:t>
      </w: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 Общие сведения о муниципальном образовании</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Новоселовский район образован в 1924 году расположен в южной части края по обеим берегам водохранилища Красноярской ГЭС в 200 – 250 км. от     г. Красноярска на автодорожной трассе федерального значения Красноярск – Абакан – Кызыл – гос. граница с ответвлением на курорт  «Озеро Шира». Достаточно сложен и контрастен в природном отношении и благоприятен для аграрной деятельности.  На левом берегу Енисея район расположен в степной и лесостепной части Минусинской котловины в умеренно прохладном с  недостаточным увлажнением на С-В и прохладном с достаточным увлажнением  на Ю-З агроклиматических районах.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строительстве в 1965 году Красноярской ГЭС район попал в зону затопления, образовавшееся водохранилище разделило район на две части, причём правобережная часть стала характеризоваться как труднодоступная местность. Границы района как муниципального образования установлены на основании закона Красноярского края от 18 февраля 2005 года № 13-3001. Район граничит с семью районами Красноярского края и республики Хакассия: Балахтинским, Идринским, Краснотуранским, Ужурским, Ширинским, Боградским, Орджоникидзовским районами.</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Климат района континентальный. Устойчивый снежный покров образуется в ноябре и достигает 0,3 метра к февралю, грунты промерзают до 1,5 м. Ветры в течении года преобладают восточные и достигают до 25 м/сек. В 2020 году средняя температура в январе составила минус 11 градусов, в июле плюс 18 градусов.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Новоселовский район относительно небольшой  (0,16% от площади территории края 3881/2366800 кв.км), но по хозяйственному значению занимает заметное место в крае благодаря плодородным землям и развитому сельскохозяйственному  производству, которое составляет основу экономики района (выращивание зерна, производство молока, мяса). Данным видом деятельности в районе занимается 8 предприятий и 62 крестьянско-фермерских хозяйства, которые состоят в реестре сельхозтоваропроизводителей.</w:t>
      </w:r>
    </w:p>
    <w:p w:rsidR="009E298B" w:rsidRDefault="009E298B">
      <w:pPr>
        <w:autoSpaceDE w:val="0"/>
        <w:autoSpaceDN w:val="0"/>
        <w:adjustRightInd w:val="0"/>
        <w:spacing w:after="0" w:line="240" w:lineRule="auto"/>
        <w:ind w:firstLine="708"/>
        <w:jc w:val="both"/>
        <w:rPr>
          <w:rFonts w:ascii="Times New Roman CYR" w:hAnsi="Times New Roman CYR" w:cs="Times New Roman CYR"/>
          <w:sz w:val="28"/>
          <w:szCs w:val="28"/>
        </w:rPr>
      </w:pPr>
    </w:p>
    <w:p w:rsidR="00627E26" w:rsidRDefault="00627E26">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Административно-территориальный состав:</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состав района входит 8 сельских поселений – 30 населённых пунктов.</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Анашенский сельсовет</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Анаш – административный центр;</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Зеленоборск; д. Куллог; п. Приморский; п. Табажак; п.Тальцы; п. Тесь.</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Бараитский сельсовет</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Бараит – административный центр;</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Камчатка</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Комский сельсовет</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Кома – административный центр;</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Бескиш; п. Енисей; д. Кульчек; д. Чёрная Кома.</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Легостаевский сельсовет </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Легостаево – административный центр</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Старая; д. Увалы.</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Новосёловский сельсовет </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Новосёлово – административный центр.</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Светлолобовский сельсовет</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с. Светлолобово – административный центр</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д. Карелино; д. Николаевка.</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Толстомысенский сельсовет</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Толстый Мыс – административный центр</w:t>
      </w:r>
    </w:p>
    <w:p w:rsidR="00627E26" w:rsidRDefault="00627E26" w:rsidP="00D07EE8">
      <w:pPr>
        <w:widowControl w:val="0"/>
        <w:numPr>
          <w:ilvl w:val="12"/>
          <w:numId w:val="0"/>
        </w:num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Аёшка; п. Интикуль.</w:t>
      </w:r>
    </w:p>
    <w:p w:rsidR="00627E26" w:rsidRDefault="00627E26" w:rsidP="00D07EE8">
      <w:pPr>
        <w:widowControl w:val="0"/>
        <w:numPr>
          <w:ilvl w:val="0"/>
          <w:numId w:val="1"/>
        </w:numPr>
        <w:autoSpaceDE w:val="0"/>
        <w:autoSpaceDN w:val="0"/>
        <w:adjustRightInd w:val="0"/>
        <w:spacing w:after="0" w:line="240" w:lineRule="auto"/>
        <w:ind w:left="1068" w:hanging="360"/>
        <w:jc w:val="both"/>
        <w:rPr>
          <w:rFonts w:ascii="Times New Roman CYR" w:hAnsi="Times New Roman CYR" w:cs="Times New Roman CYR"/>
          <w:sz w:val="28"/>
          <w:szCs w:val="28"/>
        </w:rPr>
      </w:pPr>
      <w:r>
        <w:rPr>
          <w:rFonts w:ascii="Times New Roman CYR" w:hAnsi="Times New Roman CYR" w:cs="Times New Roman CYR"/>
          <w:sz w:val="28"/>
          <w:szCs w:val="28"/>
        </w:rPr>
        <w:t>Чулымский сельсовет</w:t>
      </w:r>
    </w:p>
    <w:p w:rsidR="00627E26" w:rsidRDefault="00627E26">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Чулым – административный центр</w:t>
      </w:r>
    </w:p>
    <w:p w:rsidR="00627E26" w:rsidRDefault="00627E26">
      <w:pPr>
        <w:autoSpaceDE w:val="0"/>
        <w:autoSpaceDN w:val="0"/>
        <w:adjustRightInd w:val="0"/>
        <w:spacing w:after="0" w:line="240" w:lineRule="auto"/>
        <w:ind w:left="708"/>
        <w:jc w:val="both"/>
        <w:rPr>
          <w:rFonts w:ascii="Times New Roman CYR" w:hAnsi="Times New Roman CYR" w:cs="Times New Roman CYR"/>
          <w:sz w:val="28"/>
          <w:szCs w:val="28"/>
        </w:rPr>
      </w:pPr>
      <w:r>
        <w:rPr>
          <w:rFonts w:ascii="Times New Roman CYR" w:hAnsi="Times New Roman CYR" w:cs="Times New Roman CYR"/>
          <w:sz w:val="28"/>
          <w:szCs w:val="28"/>
        </w:rPr>
        <w:t>п. Берёзовый; п. Дивный; п. Курганы; п. Куртак; п. Чесноки.</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Численность населения района на 01.01.2021 года составила 12518 человек. Всё население района сельское. На протяжении более 20 лет численность населения постоянно снижается. </w:t>
      </w: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Промышленность</w:t>
      </w:r>
    </w:p>
    <w:p w:rsidR="006E3F30" w:rsidRDefault="006E3F30">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Новоселовского района крупных промышленных предприятий не имеется. </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промышленность района представлена предприятиями муниципальной и частной формы собственности:   </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«Обрабатывающие производства»,</w:t>
      </w:r>
      <w:r>
        <w:rPr>
          <w:rFonts w:ascii="Times New Roman CYR" w:hAnsi="Times New Roman CYR" w:cs="Times New Roman CYR"/>
          <w:sz w:val="28"/>
          <w:szCs w:val="28"/>
        </w:rPr>
        <w:t xml:space="preserve"> в том числе:</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СППК "Светлолобовский продукт" (комплекс глубокой переработки молока);</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«Геркулес» (зерна овса плющеные или переработанные в хлопья);</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«Енисей» (Полуфабрикаты мясные, мясосодержащие, охлажденные, замороженные);</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АО «Интикульское» (Мясо крупного рогатого скота (говядина и телятина) парное, остывшее или охлажденное, в том числе для детского питания);</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ООО СХП «Атлант» (мука);</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Петушкова Т.В. (хлеб и хлебобулочные изделия);</w:t>
      </w:r>
    </w:p>
    <w:p w:rsidR="00627E26" w:rsidRDefault="00627E26">
      <w:pPr>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Байрамов Э.А. (хлеб и хлебобулочные изделия);</w:t>
      </w:r>
    </w:p>
    <w:p w:rsidR="00627E26" w:rsidRDefault="00627E26" w:rsidP="00D07EE8">
      <w:pPr>
        <w:tabs>
          <w:tab w:val="left" w:pos="426"/>
        </w:tabs>
        <w:autoSpaceDE w:val="0"/>
        <w:autoSpaceDN w:val="0"/>
        <w:adjustRightInd w:val="0"/>
        <w:spacing w:after="0" w:line="240" w:lineRule="auto"/>
        <w:ind w:left="-567" w:right="282" w:firstLine="708"/>
        <w:jc w:val="both"/>
        <w:rPr>
          <w:rFonts w:ascii="Times New Roman CYR" w:hAnsi="Times New Roman CYR" w:cs="Times New Roman CYR"/>
          <w:sz w:val="28"/>
          <w:szCs w:val="28"/>
        </w:rPr>
      </w:pPr>
      <w:r>
        <w:rPr>
          <w:rFonts w:ascii="Times New Roman CYR" w:hAnsi="Times New Roman CYR" w:cs="Times New Roman CYR"/>
          <w:sz w:val="28"/>
          <w:szCs w:val="28"/>
        </w:rPr>
        <w:t>- ИП Богатырёв А.Т. (хлеб и хлебобулочные изделия).</w:t>
      </w:r>
    </w:p>
    <w:p w:rsidR="00627E26" w:rsidRDefault="00627E26" w:rsidP="00D07EE8">
      <w:pPr>
        <w:autoSpaceDE w:val="0"/>
        <w:autoSpaceDN w:val="0"/>
        <w:adjustRightInd w:val="0"/>
        <w:spacing w:after="0" w:line="240" w:lineRule="auto"/>
        <w:ind w:right="282" w:firstLine="72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Объём выпускаемой продукции по  предприятиям по видам продукции в 2021 году составил:</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ООО «Геркулес» - 1320 тн.,  что на 4,35% меньше  уровня прошлого года.</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ООО СХП Атлант выпуск муки в 2021 году составил 5468,25 тн., что составило 97,1% от выручки прошлого года.</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Прочие (неучтенные) промышленные предприятия (ИП выпускающие хлеб и хлебобулочную продукцию) – 183,5 тн., что на 19,32% выше объёма выпущенной продукции в 2020 году.</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«Обеспечение электрической энергией, газом и паром; кондиционирование воздуха» </w:t>
      </w:r>
      <w:r>
        <w:rPr>
          <w:rFonts w:ascii="Times New Roman CYR" w:hAnsi="Times New Roman CYR" w:cs="Times New Roman CYR"/>
          <w:sz w:val="28"/>
          <w:szCs w:val="28"/>
        </w:rPr>
        <w:t xml:space="preserve">в том числе: </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ООО «Тепловые сети» - 40,77 Гкал;</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МУП «Коммунальщик» - 2,47 Гкал;</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МУП «Толстомысенское ППЖКХ» - 3,72Гкал;</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xml:space="preserve">- ИП Максимов – 3,44 Гкал.  </w:t>
      </w:r>
    </w:p>
    <w:p w:rsidR="00627E26" w:rsidRDefault="00627E26" w:rsidP="00D07EE8">
      <w:pPr>
        <w:autoSpaceDE w:val="0"/>
        <w:autoSpaceDN w:val="0"/>
        <w:adjustRightInd w:val="0"/>
        <w:spacing w:after="0" w:line="240" w:lineRule="auto"/>
        <w:ind w:right="282" w:firstLine="72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Объём выпускаемой продукции в 2021 году составил  51,19 Гкал, что составляет 106,42 % от уровня прошлого года.</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По данным Красноярскстата «Объем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 в 2021 году составил – 69516 тыс. рублей и увеличился к уровню прошлого года на 42,4%. В перспективе до 2025 года значение данного показателя планируется с увеличением  к уровню 2021 года на 24,92%, за счет роста тарифов.</w:t>
      </w:r>
    </w:p>
    <w:p w:rsidR="00627E26" w:rsidRDefault="00627E26" w:rsidP="00D07EE8">
      <w:pPr>
        <w:autoSpaceDE w:val="0"/>
        <w:autoSpaceDN w:val="0"/>
        <w:adjustRightInd w:val="0"/>
        <w:spacing w:after="120" w:line="240" w:lineRule="auto"/>
        <w:ind w:right="282"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СППК «Светлолобовский продукт» начал производство продукции «масло животное». Выпуск «масло животное» составил – 30,81 тн. к 2025 году спрогнозирован рост на 5,5%, что составит 32,5 тн. </w:t>
      </w:r>
    </w:p>
    <w:p w:rsidR="00627E26" w:rsidRDefault="00627E26" w:rsidP="006E3F30">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В 2022 году выпуск продукции «Хлеб и хлебобулочные изделия» планируется на уровне 2021 года и в перспективе до  2025 года запланирован без изменения, что составит – 183,5 тонн.</w:t>
      </w:r>
    </w:p>
    <w:p w:rsidR="00627E26" w:rsidRDefault="00627E26" w:rsidP="00D07EE8">
      <w:pPr>
        <w:autoSpaceDE w:val="0"/>
        <w:autoSpaceDN w:val="0"/>
        <w:adjustRightInd w:val="0"/>
        <w:spacing w:after="120" w:line="240" w:lineRule="auto"/>
        <w:ind w:right="282"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СППК «Светлолобовский продукт» выпуск продукции «Сыры, продукты сырные, творог» планируется в размере – 2 тонн и к 2025 году спрогнозирован незначительный рост на 7,5%. </w:t>
      </w:r>
    </w:p>
    <w:p w:rsidR="00627E26" w:rsidRDefault="00627E26" w:rsidP="00D07EE8">
      <w:pPr>
        <w:autoSpaceDE w:val="0"/>
        <w:autoSpaceDN w:val="0"/>
        <w:adjustRightInd w:val="0"/>
        <w:spacing w:after="0" w:line="240" w:lineRule="auto"/>
        <w:ind w:right="282"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Выпуск продукции по предприятиям ЖКХ в 2022 году и на перспективу до 2025 года планируется на уровне 2021 года. </w:t>
      </w:r>
    </w:p>
    <w:p w:rsidR="00627E26" w:rsidRDefault="00627E26" w:rsidP="00D07EE8">
      <w:pPr>
        <w:autoSpaceDE w:val="0"/>
        <w:autoSpaceDN w:val="0"/>
        <w:adjustRightInd w:val="0"/>
        <w:spacing w:after="0" w:line="240" w:lineRule="auto"/>
        <w:ind w:right="282"/>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Индекс производства по виду деятельности - Раздел D: «Обеспечение электрической энергией, газом и паром; кондиционирование воздуха»  в 2021 году и на плановый период до 2025 года спрогнозирован на уровне 100%, так как планируется стабильная работа предприятий, которые и осуществляют данный вид деятельности на сегодняшний день. </w:t>
      </w:r>
    </w:p>
    <w:p w:rsidR="00627E26" w:rsidRDefault="00627E26" w:rsidP="00D07EE8">
      <w:pPr>
        <w:autoSpaceDE w:val="0"/>
        <w:autoSpaceDN w:val="0"/>
        <w:adjustRightInd w:val="0"/>
        <w:spacing w:after="0" w:line="240" w:lineRule="auto"/>
        <w:ind w:right="282"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Индекс производства по виду деятельности - Раздел E: «Водоснабжение; водоотведение, организация сбора и утилизация отходов, деятельность по ликвидации загрязнений» в 2021 году и на плановый период до 2025 года спрогнозирован на уровне 100%, так как планируется стабильная работа предприятий, которые и осуществляют данный вид деятельности на сегодняшний день. </w:t>
      </w:r>
    </w:p>
    <w:p w:rsidR="00627E26" w:rsidRDefault="00627E26" w:rsidP="00D07EE8">
      <w:pPr>
        <w:autoSpaceDE w:val="0"/>
        <w:autoSpaceDN w:val="0"/>
        <w:adjustRightInd w:val="0"/>
        <w:spacing w:after="0" w:line="240" w:lineRule="auto"/>
        <w:ind w:right="282"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по виду деятельности "Лесоводство и прочая лесохозяйственная деятельность" осуществляет деятельность                       КГБУ "Новоселовское лесничество".</w:t>
      </w:r>
    </w:p>
    <w:p w:rsidR="00627E26" w:rsidRDefault="00627E26">
      <w:pPr>
        <w:autoSpaceDE w:val="0"/>
        <w:autoSpaceDN w:val="0"/>
        <w:adjustRightInd w:val="0"/>
        <w:spacing w:after="0" w:line="240" w:lineRule="auto"/>
        <w:ind w:left="-567" w:right="282" w:firstLine="709"/>
        <w:jc w:val="both"/>
        <w:rPr>
          <w:rFonts w:ascii="Times New Roman CYR" w:hAnsi="Times New Roman CYR" w:cs="Times New Roman CYR"/>
          <w:sz w:val="28"/>
          <w:szCs w:val="28"/>
        </w:rPr>
      </w:pPr>
    </w:p>
    <w:p w:rsidR="00627E26" w:rsidRDefault="00627E26">
      <w:pPr>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основных видов продукции по годам приведено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275"/>
        <w:gridCol w:w="853"/>
        <w:gridCol w:w="852"/>
        <w:gridCol w:w="707"/>
        <w:gridCol w:w="709"/>
        <w:gridCol w:w="709"/>
        <w:gridCol w:w="993"/>
        <w:gridCol w:w="1699"/>
      </w:tblGrid>
      <w:tr w:rsidR="00627E26" w:rsidRPr="00D07EE8" w:rsidTr="00FF2ACA">
        <w:tblPrEx>
          <w:tblCellMar>
            <w:top w:w="0" w:type="dxa"/>
            <w:bottom w:w="0" w:type="dxa"/>
          </w:tblCellMar>
        </w:tblPrEx>
        <w:trPr>
          <w:trHeight w:val="1583"/>
        </w:trPr>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ind w:right="176"/>
              <w:jc w:val="both"/>
              <w:rPr>
                <w:rFonts w:ascii="Times New Roman CYR" w:hAnsi="Times New Roman CYR" w:cs="Times New Roman CYR"/>
                <w:sz w:val="23"/>
                <w:szCs w:val="23"/>
              </w:rPr>
            </w:pPr>
            <w:r w:rsidRPr="00D07EE8">
              <w:rPr>
                <w:rFonts w:ascii="Times New Roman CYR" w:hAnsi="Times New Roman CYR" w:cs="Times New Roman CYR"/>
                <w:sz w:val="23"/>
                <w:szCs w:val="23"/>
              </w:rPr>
              <w:t>Наименование продукции</w:t>
            </w:r>
          </w:p>
        </w:tc>
        <w:tc>
          <w:tcPr>
            <w:tcW w:w="1275"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Ед. изм.</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2021 год</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2022 год</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2023 год</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2024</w:t>
            </w:r>
          </w:p>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год</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2025 год</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Темп роста 2025г. к</w:t>
            </w:r>
          </w:p>
          <w:p w:rsidR="00627E26" w:rsidRPr="00D07EE8" w:rsidRDefault="00627E26">
            <w:pPr>
              <w:autoSpaceDE w:val="0"/>
              <w:autoSpaceDN w:val="0"/>
              <w:adjustRightInd w:val="0"/>
              <w:spacing w:after="0" w:line="240" w:lineRule="auto"/>
              <w:jc w:val="both"/>
              <w:rPr>
                <w:rFonts w:ascii="Times New Roman CYR" w:hAnsi="Times New Roman CYR" w:cs="Times New Roman CYR"/>
                <w:b/>
                <w:bCs/>
                <w:sz w:val="23"/>
                <w:szCs w:val="23"/>
              </w:rPr>
            </w:pPr>
            <w:r w:rsidRPr="00D07EE8">
              <w:rPr>
                <w:rFonts w:ascii="Times New Roman CYR" w:hAnsi="Times New Roman CYR" w:cs="Times New Roman CYR"/>
                <w:sz w:val="23"/>
                <w:szCs w:val="23"/>
              </w:rPr>
              <w:t>2021г. (%)</w:t>
            </w:r>
          </w:p>
        </w:tc>
        <w:tc>
          <w:tcPr>
            <w:tcW w:w="1699"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комментарии</w:t>
            </w:r>
          </w:p>
        </w:tc>
      </w:tr>
      <w:tr w:rsidR="00057AA0"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057AA0" w:rsidRPr="00D07EE8" w:rsidRDefault="00057AA0">
            <w:pPr>
              <w:autoSpaceDE w:val="0"/>
              <w:autoSpaceDN w:val="0"/>
              <w:adjustRightInd w:val="0"/>
              <w:spacing w:after="0" w:line="240" w:lineRule="auto"/>
              <w:ind w:firstLine="33"/>
              <w:rPr>
                <w:rFonts w:ascii="Times New Roman CYR" w:hAnsi="Times New Roman CYR" w:cs="Times New Roman CYR"/>
                <w:sz w:val="23"/>
                <w:szCs w:val="23"/>
              </w:rPr>
            </w:pPr>
            <w:r w:rsidRPr="00D07EE8">
              <w:rPr>
                <w:rFonts w:ascii="Times New Roman CYR" w:hAnsi="Times New Roman CYR" w:cs="Times New Roman CYR"/>
                <w:sz w:val="23"/>
                <w:szCs w:val="23"/>
              </w:rPr>
              <w:t>Лесоматериалы необработанные *</w:t>
            </w:r>
          </w:p>
        </w:tc>
        <w:tc>
          <w:tcPr>
            <w:tcW w:w="1275" w:type="dxa"/>
            <w:tcBorders>
              <w:top w:val="single" w:sz="4" w:space="0" w:color="auto"/>
              <w:left w:val="single" w:sz="4" w:space="0" w:color="auto"/>
              <w:bottom w:val="single" w:sz="4" w:space="0" w:color="auto"/>
              <w:right w:val="single" w:sz="4" w:space="0" w:color="auto"/>
            </w:tcBorders>
            <w:vAlign w:val="center"/>
          </w:tcPr>
          <w:p w:rsidR="00057AA0" w:rsidRPr="00D07EE8" w:rsidRDefault="00057AA0">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ind w:left="-106"/>
              <w:rPr>
                <w:rFonts w:ascii="Times New Roman CYR" w:hAnsi="Times New Roman CYR" w:cs="Times New Roman CYR"/>
                <w:sz w:val="23"/>
                <w:szCs w:val="23"/>
              </w:rPr>
            </w:pPr>
            <w:r w:rsidRPr="00D07EE8">
              <w:rPr>
                <w:rFonts w:ascii="Times New Roman CYR" w:hAnsi="Times New Roman CYR" w:cs="Times New Roman CYR"/>
                <w:sz w:val="23"/>
                <w:szCs w:val="23"/>
              </w:rPr>
              <w:t>16,24</w:t>
            </w:r>
          </w:p>
        </w:tc>
        <w:tc>
          <w:tcPr>
            <w:tcW w:w="852" w:type="dxa"/>
            <w:tcBorders>
              <w:top w:val="single" w:sz="4" w:space="0" w:color="auto"/>
              <w:left w:val="single" w:sz="4" w:space="0" w:color="auto"/>
              <w:bottom w:val="single" w:sz="4" w:space="0" w:color="auto"/>
              <w:right w:val="single" w:sz="4" w:space="0" w:color="auto"/>
            </w:tcBorders>
          </w:tcPr>
          <w:p w:rsidR="00057AA0" w:rsidRPr="00057AA0" w:rsidRDefault="00057AA0">
            <w:pPr>
              <w:autoSpaceDE w:val="0"/>
              <w:autoSpaceDN w:val="0"/>
              <w:adjustRightInd w:val="0"/>
              <w:rPr>
                <w:rFonts w:ascii="Times New Roman" w:hAnsi="Times New Roman"/>
                <w:sz w:val="23"/>
                <w:szCs w:val="23"/>
              </w:rPr>
            </w:pPr>
            <w:r w:rsidRPr="00057AA0">
              <w:rPr>
                <w:rFonts w:ascii="Times New Roman" w:hAnsi="Times New Roman"/>
                <w:sz w:val="23"/>
                <w:szCs w:val="23"/>
              </w:rPr>
              <w:t>4,3</w:t>
            </w:r>
          </w:p>
        </w:tc>
        <w:tc>
          <w:tcPr>
            <w:tcW w:w="707" w:type="dxa"/>
            <w:tcBorders>
              <w:top w:val="single" w:sz="4" w:space="0" w:color="auto"/>
              <w:left w:val="single" w:sz="4" w:space="0" w:color="auto"/>
              <w:bottom w:val="single" w:sz="4" w:space="0" w:color="auto"/>
              <w:right w:val="single" w:sz="4" w:space="0" w:color="auto"/>
            </w:tcBorders>
          </w:tcPr>
          <w:p w:rsidR="00057AA0" w:rsidRPr="00057AA0" w:rsidRDefault="00057AA0">
            <w:pPr>
              <w:autoSpaceDE w:val="0"/>
              <w:autoSpaceDN w:val="0"/>
              <w:adjustRightInd w:val="0"/>
              <w:ind w:left="-109"/>
              <w:rPr>
                <w:rFonts w:ascii="Times New Roman" w:hAnsi="Times New Roman"/>
                <w:sz w:val="23"/>
                <w:szCs w:val="23"/>
              </w:rPr>
            </w:pPr>
            <w:r w:rsidRPr="00057AA0">
              <w:rPr>
                <w:rFonts w:ascii="Times New Roman" w:hAnsi="Times New Roman"/>
                <w:sz w:val="23"/>
                <w:szCs w:val="23"/>
              </w:rPr>
              <w:t>4,3</w:t>
            </w:r>
          </w:p>
        </w:tc>
        <w:tc>
          <w:tcPr>
            <w:tcW w:w="709" w:type="dxa"/>
            <w:tcBorders>
              <w:top w:val="single" w:sz="4" w:space="0" w:color="auto"/>
              <w:left w:val="single" w:sz="4" w:space="0" w:color="auto"/>
              <w:bottom w:val="single" w:sz="4" w:space="0" w:color="auto"/>
              <w:right w:val="single" w:sz="4" w:space="0" w:color="auto"/>
            </w:tcBorders>
          </w:tcPr>
          <w:p w:rsidR="00057AA0" w:rsidRPr="00057AA0" w:rsidRDefault="00057AA0">
            <w:pPr>
              <w:autoSpaceDE w:val="0"/>
              <w:autoSpaceDN w:val="0"/>
              <w:adjustRightInd w:val="0"/>
              <w:ind w:left="-107"/>
              <w:rPr>
                <w:rFonts w:ascii="Times New Roman" w:hAnsi="Times New Roman"/>
                <w:sz w:val="23"/>
                <w:szCs w:val="23"/>
              </w:rPr>
            </w:pPr>
            <w:r w:rsidRPr="00057AA0">
              <w:rPr>
                <w:rFonts w:ascii="Times New Roman" w:hAnsi="Times New Roman"/>
                <w:sz w:val="23"/>
                <w:szCs w:val="23"/>
              </w:rPr>
              <w:t>4,3</w:t>
            </w:r>
          </w:p>
        </w:tc>
        <w:tc>
          <w:tcPr>
            <w:tcW w:w="709" w:type="dxa"/>
            <w:tcBorders>
              <w:top w:val="single" w:sz="4" w:space="0" w:color="auto"/>
              <w:left w:val="single" w:sz="4" w:space="0" w:color="auto"/>
              <w:bottom w:val="single" w:sz="4" w:space="0" w:color="auto"/>
              <w:right w:val="single" w:sz="4" w:space="0" w:color="auto"/>
            </w:tcBorders>
          </w:tcPr>
          <w:p w:rsidR="00057AA0" w:rsidRPr="00057AA0" w:rsidRDefault="00057AA0">
            <w:pPr>
              <w:autoSpaceDE w:val="0"/>
              <w:autoSpaceDN w:val="0"/>
              <w:adjustRightInd w:val="0"/>
              <w:ind w:left="-107"/>
              <w:rPr>
                <w:rFonts w:ascii="Times New Roman" w:hAnsi="Times New Roman"/>
                <w:sz w:val="23"/>
                <w:szCs w:val="23"/>
              </w:rPr>
            </w:pPr>
            <w:r w:rsidRPr="00057AA0">
              <w:rPr>
                <w:rFonts w:ascii="Times New Roman" w:hAnsi="Times New Roman"/>
                <w:sz w:val="23"/>
                <w:szCs w:val="23"/>
              </w:rPr>
              <w:t>4,3</w:t>
            </w:r>
          </w:p>
        </w:tc>
        <w:tc>
          <w:tcPr>
            <w:tcW w:w="993" w:type="dxa"/>
            <w:tcBorders>
              <w:top w:val="single" w:sz="4" w:space="0" w:color="auto"/>
              <w:left w:val="single" w:sz="4" w:space="0" w:color="auto"/>
              <w:bottom w:val="single" w:sz="4" w:space="0" w:color="auto"/>
              <w:right w:val="single" w:sz="4" w:space="0" w:color="auto"/>
            </w:tcBorders>
          </w:tcPr>
          <w:p w:rsidR="00057AA0" w:rsidRPr="00057AA0" w:rsidRDefault="00057AA0">
            <w:pPr>
              <w:autoSpaceDE w:val="0"/>
              <w:autoSpaceDN w:val="0"/>
              <w:adjustRightInd w:val="0"/>
              <w:spacing w:after="0" w:line="240" w:lineRule="auto"/>
              <w:jc w:val="both"/>
              <w:rPr>
                <w:rFonts w:ascii="Times New Roman" w:hAnsi="Times New Roman"/>
                <w:sz w:val="23"/>
                <w:szCs w:val="23"/>
              </w:rPr>
            </w:pPr>
            <w:r w:rsidRPr="00057AA0">
              <w:rPr>
                <w:rFonts w:ascii="Times New Roman" w:hAnsi="Times New Roman"/>
                <w:sz w:val="23"/>
                <w:szCs w:val="23"/>
              </w:rPr>
              <w:t>26,48</w:t>
            </w:r>
          </w:p>
        </w:tc>
        <w:tc>
          <w:tcPr>
            <w:tcW w:w="1699" w:type="dxa"/>
            <w:vMerge w:val="restart"/>
            <w:tcBorders>
              <w:top w:val="single" w:sz="4" w:space="0" w:color="auto"/>
              <w:left w:val="single" w:sz="4" w:space="0" w:color="auto"/>
            </w:tcBorders>
          </w:tcPr>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Снижение за счет уменьшения потребности населения</w:t>
            </w: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Default="00057AA0" w:rsidP="00BE06E2">
            <w:pPr>
              <w:autoSpaceDE w:val="0"/>
              <w:autoSpaceDN w:val="0"/>
              <w:adjustRightInd w:val="0"/>
              <w:spacing w:after="0" w:line="240" w:lineRule="auto"/>
              <w:rPr>
                <w:rFonts w:ascii="Times New Roman CYR" w:hAnsi="Times New Roman CYR" w:cs="Times New Roman CYR"/>
                <w:sz w:val="23"/>
                <w:szCs w:val="23"/>
              </w:rPr>
            </w:pPr>
          </w:p>
          <w:p w:rsidR="00057AA0" w:rsidRPr="00D07EE8" w:rsidRDefault="00057AA0" w:rsidP="00BE06E2">
            <w:pPr>
              <w:autoSpaceDE w:val="0"/>
              <w:autoSpaceDN w:val="0"/>
              <w:adjustRightInd w:val="0"/>
              <w:spacing w:after="0" w:line="240" w:lineRule="auto"/>
              <w:rPr>
                <w:rFonts w:ascii="Times New Roman CYR" w:hAnsi="Times New Roman CYR" w:cs="Times New Roman CYR"/>
                <w:sz w:val="23"/>
                <w:szCs w:val="23"/>
              </w:rPr>
            </w:pPr>
          </w:p>
        </w:tc>
      </w:tr>
      <w:tr w:rsidR="00057AA0" w:rsidRPr="00D07EE8" w:rsidTr="00FF2ACA">
        <w:tblPrEx>
          <w:tblCellMar>
            <w:top w:w="0" w:type="dxa"/>
            <w:bottom w:w="0" w:type="dxa"/>
          </w:tblCellMar>
        </w:tblPrEx>
        <w:trPr>
          <w:trHeight w:val="912"/>
        </w:trPr>
        <w:tc>
          <w:tcPr>
            <w:tcW w:w="1843" w:type="dxa"/>
            <w:tcBorders>
              <w:top w:val="single" w:sz="4" w:space="0" w:color="auto"/>
              <w:bottom w:val="single" w:sz="4" w:space="0" w:color="auto"/>
              <w:right w:val="single" w:sz="4" w:space="0" w:color="auto"/>
            </w:tcBorders>
          </w:tcPr>
          <w:p w:rsidR="00057AA0" w:rsidRPr="00D07EE8" w:rsidRDefault="00057AA0">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Лесоматериалы хвойных пород</w:t>
            </w:r>
          </w:p>
        </w:tc>
        <w:tc>
          <w:tcPr>
            <w:tcW w:w="1275" w:type="dxa"/>
            <w:tcBorders>
              <w:top w:val="single" w:sz="4" w:space="0" w:color="auto"/>
              <w:left w:val="single" w:sz="4" w:space="0" w:color="auto"/>
              <w:bottom w:val="single" w:sz="4" w:space="0" w:color="auto"/>
              <w:right w:val="single" w:sz="4" w:space="0" w:color="auto"/>
            </w:tcBorders>
            <w:vAlign w:val="center"/>
          </w:tcPr>
          <w:p w:rsidR="00057AA0" w:rsidRPr="00D07EE8" w:rsidRDefault="00057AA0">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6,4</w:t>
            </w:r>
          </w:p>
        </w:tc>
        <w:tc>
          <w:tcPr>
            <w:tcW w:w="852"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1,2</w:t>
            </w:r>
          </w:p>
        </w:tc>
        <w:tc>
          <w:tcPr>
            <w:tcW w:w="707"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1,2</w:t>
            </w:r>
          </w:p>
        </w:tc>
        <w:tc>
          <w:tcPr>
            <w:tcW w:w="709"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1,2</w:t>
            </w:r>
          </w:p>
        </w:tc>
        <w:tc>
          <w:tcPr>
            <w:tcW w:w="709"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1,2</w:t>
            </w:r>
          </w:p>
        </w:tc>
        <w:tc>
          <w:tcPr>
            <w:tcW w:w="993"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18,75</w:t>
            </w:r>
          </w:p>
        </w:tc>
        <w:tc>
          <w:tcPr>
            <w:tcW w:w="1699" w:type="dxa"/>
            <w:vMerge/>
            <w:tcBorders>
              <w:left w:val="single" w:sz="4" w:space="0" w:color="auto"/>
            </w:tcBorders>
            <w:vAlign w:val="center"/>
          </w:tcPr>
          <w:p w:rsidR="00057AA0" w:rsidRPr="00D07EE8" w:rsidRDefault="00057AA0">
            <w:pPr>
              <w:autoSpaceDE w:val="0"/>
              <w:autoSpaceDN w:val="0"/>
              <w:adjustRightInd w:val="0"/>
              <w:spacing w:after="0" w:line="240" w:lineRule="auto"/>
              <w:rPr>
                <w:rFonts w:ascii="Times New Roman CYR" w:hAnsi="Times New Roman CYR" w:cs="Times New Roman CYR"/>
                <w:sz w:val="23"/>
                <w:szCs w:val="23"/>
              </w:rPr>
            </w:pPr>
          </w:p>
        </w:tc>
      </w:tr>
      <w:tr w:rsidR="00057AA0"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057AA0" w:rsidRPr="00D07EE8" w:rsidRDefault="00057AA0">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Лесоматериалы лиственных пород, за исключением тропических пород</w:t>
            </w:r>
          </w:p>
        </w:tc>
        <w:tc>
          <w:tcPr>
            <w:tcW w:w="1275" w:type="dxa"/>
            <w:tcBorders>
              <w:top w:val="single" w:sz="4" w:space="0" w:color="auto"/>
              <w:left w:val="single" w:sz="4" w:space="0" w:color="auto"/>
              <w:bottom w:val="single" w:sz="4" w:space="0" w:color="auto"/>
              <w:right w:val="single" w:sz="4" w:space="0" w:color="auto"/>
            </w:tcBorders>
            <w:vAlign w:val="center"/>
          </w:tcPr>
          <w:p w:rsidR="00057AA0" w:rsidRPr="00D07EE8" w:rsidRDefault="00057AA0">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тыс. плот. куб. метров</w:t>
            </w:r>
          </w:p>
        </w:tc>
        <w:tc>
          <w:tcPr>
            <w:tcW w:w="853"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9,8</w:t>
            </w:r>
          </w:p>
        </w:tc>
        <w:tc>
          <w:tcPr>
            <w:tcW w:w="852"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3,1</w:t>
            </w:r>
          </w:p>
        </w:tc>
        <w:tc>
          <w:tcPr>
            <w:tcW w:w="707"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3,1</w:t>
            </w:r>
          </w:p>
        </w:tc>
        <w:tc>
          <w:tcPr>
            <w:tcW w:w="709"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3,1</w:t>
            </w:r>
          </w:p>
        </w:tc>
        <w:tc>
          <w:tcPr>
            <w:tcW w:w="709"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3,1</w:t>
            </w:r>
          </w:p>
        </w:tc>
        <w:tc>
          <w:tcPr>
            <w:tcW w:w="993" w:type="dxa"/>
            <w:tcBorders>
              <w:top w:val="single" w:sz="4" w:space="0" w:color="auto"/>
              <w:left w:val="single" w:sz="4" w:space="0" w:color="auto"/>
              <w:bottom w:val="single" w:sz="4" w:space="0" w:color="auto"/>
              <w:right w:val="single" w:sz="4" w:space="0" w:color="auto"/>
            </w:tcBorders>
          </w:tcPr>
          <w:p w:rsidR="00057AA0" w:rsidRPr="00D07EE8" w:rsidRDefault="00057AA0">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31,6</w:t>
            </w:r>
          </w:p>
        </w:tc>
        <w:tc>
          <w:tcPr>
            <w:tcW w:w="1699" w:type="dxa"/>
            <w:vMerge/>
            <w:tcBorders>
              <w:left w:val="single" w:sz="4" w:space="0" w:color="auto"/>
              <w:bottom w:val="single" w:sz="4" w:space="0" w:color="auto"/>
            </w:tcBorders>
          </w:tcPr>
          <w:p w:rsidR="00057AA0" w:rsidRPr="00D07EE8" w:rsidRDefault="00057AA0">
            <w:pPr>
              <w:autoSpaceDE w:val="0"/>
              <w:autoSpaceDN w:val="0"/>
              <w:adjustRightInd w:val="0"/>
              <w:spacing w:after="0" w:line="240" w:lineRule="auto"/>
              <w:jc w:val="both"/>
              <w:rPr>
                <w:rFonts w:ascii="Times New Roman CYR" w:hAnsi="Times New Roman CYR" w:cs="Times New Roman CYR"/>
                <w:sz w:val="23"/>
                <w:szCs w:val="23"/>
                <w:highlight w:val="yellow"/>
              </w:rPr>
            </w:pP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 xml:space="preserve">Мясо крупного рогатого скота, свинина, баранина, козлятина, конина </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AD3B0C">
            <w:pPr>
              <w:autoSpaceDE w:val="0"/>
              <w:autoSpaceDN w:val="0"/>
              <w:adjustRightInd w:val="0"/>
              <w:ind w:left="-106" w:right="-109"/>
              <w:rPr>
                <w:rFonts w:ascii="Times New Roman CYR" w:hAnsi="Times New Roman CYR" w:cs="Times New Roman CYR"/>
                <w:sz w:val="23"/>
                <w:szCs w:val="23"/>
              </w:rPr>
            </w:pPr>
            <w:r>
              <w:rPr>
                <w:rFonts w:ascii="Times New Roman CYR" w:hAnsi="Times New Roman CYR" w:cs="Times New Roman CYR"/>
                <w:sz w:val="23"/>
                <w:szCs w:val="23"/>
              </w:rPr>
              <w:t>586,6</w:t>
            </w:r>
            <w:r w:rsidR="00627E26" w:rsidRPr="00D07EE8">
              <w:rPr>
                <w:rFonts w:ascii="Times New Roman CYR" w:hAnsi="Times New Roman CYR" w:cs="Times New Roman CYR"/>
                <w:sz w:val="23"/>
                <w:szCs w:val="23"/>
              </w:rPr>
              <w:t>2</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587</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cs="Calibri"/>
              </w:rPr>
            </w:pPr>
            <w:r w:rsidRPr="00D07EE8">
              <w:rPr>
                <w:rFonts w:ascii="Times New Roman CYR" w:hAnsi="Times New Roman CYR" w:cs="Times New Roman CYR"/>
                <w:sz w:val="23"/>
                <w:szCs w:val="23"/>
              </w:rPr>
              <w:t>587</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cs="Calibri"/>
              </w:rPr>
            </w:pPr>
            <w:r w:rsidRPr="00D07EE8">
              <w:rPr>
                <w:rFonts w:ascii="Times New Roman CYR" w:hAnsi="Times New Roman CYR" w:cs="Times New Roman CYR"/>
                <w:sz w:val="23"/>
                <w:szCs w:val="23"/>
              </w:rPr>
              <w:t>587</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cs="Calibri"/>
              </w:rPr>
            </w:pPr>
            <w:r w:rsidRPr="00D07EE8">
              <w:rPr>
                <w:rFonts w:ascii="Times New Roman CYR" w:hAnsi="Times New Roman CYR" w:cs="Times New Roman CYR"/>
                <w:sz w:val="23"/>
                <w:szCs w:val="23"/>
              </w:rPr>
              <w:t>587</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100,1</w:t>
            </w:r>
          </w:p>
        </w:tc>
        <w:tc>
          <w:tcPr>
            <w:tcW w:w="1699"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Значительного роста не запланировано</w:t>
            </w: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Производство колбасных изделий и аналогичных продуктов из мяса</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275</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cs="Calibri"/>
              </w:rPr>
            </w:pPr>
            <w:r w:rsidRPr="00D07EE8">
              <w:rPr>
                <w:rFonts w:ascii="Times New Roman CYR" w:hAnsi="Times New Roman CYR" w:cs="Times New Roman CYR"/>
                <w:sz w:val="23"/>
                <w:szCs w:val="23"/>
              </w:rPr>
              <w:t>275</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cs="Calibri"/>
              </w:rPr>
            </w:pPr>
            <w:r w:rsidRPr="00D07EE8">
              <w:rPr>
                <w:rFonts w:ascii="Times New Roman CYR" w:hAnsi="Times New Roman CYR" w:cs="Times New Roman CYR"/>
                <w:sz w:val="23"/>
                <w:szCs w:val="23"/>
              </w:rPr>
              <w:t>275</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cs="Calibri"/>
              </w:rPr>
            </w:pPr>
            <w:r w:rsidRPr="00D07EE8">
              <w:rPr>
                <w:rFonts w:ascii="Times New Roman CYR" w:hAnsi="Times New Roman CYR" w:cs="Times New Roman CYR"/>
                <w:sz w:val="23"/>
                <w:szCs w:val="23"/>
              </w:rPr>
              <w:t>275</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275</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100</w:t>
            </w:r>
          </w:p>
        </w:tc>
        <w:tc>
          <w:tcPr>
            <w:tcW w:w="1699"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Показатели запланированы на уровне 2021 года</w:t>
            </w:r>
          </w:p>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p>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 xml:space="preserve">Производство молока жидкого обработанного, включая  молоко для </w:t>
            </w:r>
            <w:r w:rsidRPr="00D07EE8">
              <w:rPr>
                <w:rFonts w:ascii="Times New Roman CYR" w:hAnsi="Times New Roman CYR" w:cs="Times New Roman CYR"/>
                <w:sz w:val="23"/>
                <w:szCs w:val="23"/>
              </w:rPr>
              <w:lastRenderedPageBreak/>
              <w:t>детского питания</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lastRenderedPageBreak/>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AD3B0C">
            <w:pPr>
              <w:autoSpaceDE w:val="0"/>
              <w:autoSpaceDN w:val="0"/>
              <w:adjustRightInd w:val="0"/>
              <w:rPr>
                <w:rFonts w:ascii="Times New Roman CYR" w:hAnsi="Times New Roman CYR" w:cs="Times New Roman CYR"/>
                <w:sz w:val="23"/>
                <w:szCs w:val="23"/>
              </w:rPr>
            </w:pPr>
            <w:r>
              <w:rPr>
                <w:rFonts w:ascii="Times New Roman CYR" w:hAnsi="Times New Roman CYR" w:cs="Times New Roman CYR"/>
                <w:sz w:val="23"/>
                <w:szCs w:val="23"/>
              </w:rPr>
              <w:t>30,81</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31</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31,5</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32</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32</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103,86</w:t>
            </w:r>
          </w:p>
        </w:tc>
        <w:tc>
          <w:tcPr>
            <w:tcW w:w="1699" w:type="dxa"/>
            <w:vMerge w:val="restart"/>
            <w:tcBorders>
              <w:top w:val="single" w:sz="4" w:space="0" w:color="auto"/>
              <w:left w:val="single" w:sz="4" w:space="0" w:color="auto"/>
              <w:bottom w:val="nil"/>
            </w:tcBorders>
          </w:tcPr>
          <w:p w:rsidR="00627E26" w:rsidRPr="00D07EE8" w:rsidRDefault="00627E26">
            <w:pPr>
              <w:autoSpaceDE w:val="0"/>
              <w:autoSpaceDN w:val="0"/>
              <w:adjustRightInd w:val="0"/>
              <w:spacing w:after="0" w:line="240" w:lineRule="auto"/>
              <w:ind w:left="-108"/>
              <w:jc w:val="both"/>
              <w:rPr>
                <w:rFonts w:ascii="Times New Roman CYR" w:hAnsi="Times New Roman CYR" w:cs="Times New Roman CYR"/>
                <w:sz w:val="23"/>
                <w:szCs w:val="23"/>
              </w:rPr>
            </w:pPr>
            <w:r w:rsidRPr="00D07EE8">
              <w:rPr>
                <w:rFonts w:ascii="Times New Roman CYR" w:hAnsi="Times New Roman CYR" w:cs="Times New Roman CYR"/>
                <w:sz w:val="23"/>
                <w:szCs w:val="23"/>
              </w:rPr>
              <w:t xml:space="preserve">Рост за счет увеличения мощности выпускаемой продукции </w:t>
            </w:r>
            <w:r w:rsidRPr="00D07EE8">
              <w:rPr>
                <w:rFonts w:ascii="Times New Roman CYR" w:hAnsi="Times New Roman CYR" w:cs="Times New Roman CYR"/>
                <w:sz w:val="23"/>
                <w:szCs w:val="23"/>
              </w:rPr>
              <w:lastRenderedPageBreak/>
              <w:t>СППК «Светлолобовский продукт»</w:t>
            </w: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lastRenderedPageBreak/>
              <w:t>Масло сливочное</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0,59</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0,8</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0,83</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0,85</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0,9</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152,5</w:t>
            </w:r>
          </w:p>
        </w:tc>
        <w:tc>
          <w:tcPr>
            <w:tcW w:w="1699" w:type="dxa"/>
            <w:vMerge/>
            <w:tcBorders>
              <w:top w:val="nil"/>
              <w:left w:val="single" w:sz="4" w:space="0" w:color="auto"/>
              <w:bottom w:val="single" w:sz="4" w:space="0" w:color="auto"/>
            </w:tcBorders>
            <w:vAlign w:val="center"/>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 xml:space="preserve">Сыры, продукты сырные и творог </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0</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 xml:space="preserve">2 </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2,05</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2,1</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2,15</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х</w:t>
            </w:r>
          </w:p>
        </w:tc>
        <w:tc>
          <w:tcPr>
            <w:tcW w:w="1699" w:type="dxa"/>
            <w:tcBorders>
              <w:top w:val="single" w:sz="4" w:space="0" w:color="auto"/>
              <w:left w:val="single" w:sz="4" w:space="0" w:color="auto"/>
              <w:bottom w:val="single" w:sz="4" w:space="0" w:color="auto"/>
            </w:tcBorders>
            <w:vAlign w:val="center"/>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Продукция в 2021 году не выпускалось</w:t>
            </w: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 xml:space="preserve">Мука из зерновых культур </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ind w:left="-106" w:right="-108"/>
              <w:rPr>
                <w:rFonts w:ascii="Times New Roman CYR" w:hAnsi="Times New Roman CYR" w:cs="Times New Roman CYR"/>
                <w:sz w:val="23"/>
                <w:szCs w:val="23"/>
              </w:rPr>
            </w:pPr>
            <w:r w:rsidRPr="00D07EE8">
              <w:rPr>
                <w:rFonts w:ascii="Times New Roman CYR" w:hAnsi="Times New Roman CYR" w:cs="Times New Roman CYR"/>
                <w:sz w:val="23"/>
                <w:szCs w:val="23"/>
              </w:rPr>
              <w:t>5468,25</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5470</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rsidP="00FF2ACA">
            <w:pPr>
              <w:autoSpaceDE w:val="0"/>
              <w:autoSpaceDN w:val="0"/>
              <w:adjustRightInd w:val="0"/>
              <w:ind w:left="-110"/>
              <w:rPr>
                <w:rFonts w:ascii="Times New Roman CYR" w:hAnsi="Times New Roman CYR" w:cs="Times New Roman CYR"/>
                <w:sz w:val="23"/>
                <w:szCs w:val="23"/>
              </w:rPr>
            </w:pPr>
            <w:r w:rsidRPr="00D07EE8">
              <w:rPr>
                <w:rFonts w:ascii="Times New Roman CYR" w:hAnsi="Times New Roman CYR" w:cs="Times New Roman CYR"/>
                <w:sz w:val="23"/>
                <w:szCs w:val="23"/>
              </w:rPr>
              <w:t>5480</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5490</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5500</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100,58</w:t>
            </w:r>
          </w:p>
        </w:tc>
        <w:tc>
          <w:tcPr>
            <w:tcW w:w="1699"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Значительного роста не запланировано</w:t>
            </w: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Производство крупы (геркулес)</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1320</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rsidP="00FF2ACA">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13</w:t>
            </w:r>
            <w:r w:rsidR="00FF2ACA">
              <w:rPr>
                <w:rFonts w:ascii="Times New Roman CYR" w:hAnsi="Times New Roman CYR" w:cs="Times New Roman CYR"/>
                <w:sz w:val="23"/>
                <w:szCs w:val="23"/>
              </w:rPr>
              <w:t>2</w:t>
            </w:r>
            <w:r w:rsidRPr="00D07EE8">
              <w:rPr>
                <w:rFonts w:ascii="Times New Roman CYR" w:hAnsi="Times New Roman CYR" w:cs="Times New Roman CYR"/>
                <w:sz w:val="23"/>
                <w:szCs w:val="23"/>
              </w:rPr>
              <w:t>0</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rsidP="00FF2ACA">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13</w:t>
            </w:r>
            <w:r w:rsidR="00FF2ACA">
              <w:rPr>
                <w:rFonts w:ascii="Times New Roman CYR" w:hAnsi="Times New Roman CYR" w:cs="Times New Roman CYR"/>
                <w:sz w:val="23"/>
                <w:szCs w:val="23"/>
              </w:rPr>
              <w:t>3</w:t>
            </w:r>
            <w:r w:rsidRPr="00D07EE8">
              <w:rPr>
                <w:rFonts w:ascii="Times New Roman CYR" w:hAnsi="Times New Roman CYR" w:cs="Times New Roman CYR"/>
                <w:sz w:val="23"/>
                <w:szCs w:val="23"/>
              </w:rPr>
              <w:t>0</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1350</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1360</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103</w:t>
            </w:r>
          </w:p>
        </w:tc>
        <w:tc>
          <w:tcPr>
            <w:tcW w:w="1699"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 xml:space="preserve">Значительного роста не запланировано </w:t>
            </w:r>
          </w:p>
        </w:tc>
      </w:tr>
      <w:tr w:rsidR="00627E26" w:rsidRPr="00D07EE8" w:rsidTr="00FF2ACA">
        <w:tblPrEx>
          <w:tblCellMar>
            <w:top w:w="0" w:type="dxa"/>
            <w:bottom w:w="0" w:type="dxa"/>
          </w:tblCellMar>
        </w:tblPrEx>
        <w:tc>
          <w:tcPr>
            <w:tcW w:w="1843"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rPr>
                <w:rFonts w:ascii="Times New Roman CYR" w:hAnsi="Times New Roman CYR" w:cs="Times New Roman CYR"/>
                <w:sz w:val="23"/>
                <w:szCs w:val="23"/>
              </w:rPr>
            </w:pPr>
            <w:r w:rsidRPr="00D07EE8">
              <w:rPr>
                <w:rFonts w:ascii="Times New Roman CYR" w:hAnsi="Times New Roman CYR" w:cs="Times New Roman CYR"/>
                <w:sz w:val="23"/>
                <w:szCs w:val="23"/>
              </w:rPr>
              <w:t xml:space="preserve">Изделия хлебобулочные и мучные кондитерские </w:t>
            </w:r>
          </w:p>
        </w:tc>
        <w:tc>
          <w:tcPr>
            <w:tcW w:w="1275"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3"/>
                <w:szCs w:val="23"/>
              </w:rPr>
            </w:pPr>
            <w:r w:rsidRPr="00D07EE8">
              <w:rPr>
                <w:rFonts w:ascii="Times New Roman CYR" w:hAnsi="Times New Roman CYR" w:cs="Times New Roman CYR"/>
                <w:sz w:val="23"/>
                <w:szCs w:val="23"/>
              </w:rPr>
              <w:t>тонн</w:t>
            </w:r>
          </w:p>
        </w:tc>
        <w:tc>
          <w:tcPr>
            <w:tcW w:w="85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180</w:t>
            </w:r>
          </w:p>
        </w:tc>
        <w:tc>
          <w:tcPr>
            <w:tcW w:w="852"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180</w:t>
            </w:r>
          </w:p>
        </w:tc>
        <w:tc>
          <w:tcPr>
            <w:tcW w:w="707"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180</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180</w:t>
            </w:r>
          </w:p>
        </w:tc>
        <w:tc>
          <w:tcPr>
            <w:tcW w:w="709"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rPr>
                <w:rFonts w:ascii="Times New Roman CYR" w:hAnsi="Times New Roman CYR" w:cs="Times New Roman CYR"/>
                <w:sz w:val="23"/>
                <w:szCs w:val="23"/>
              </w:rPr>
            </w:pPr>
            <w:r w:rsidRPr="00D07EE8">
              <w:rPr>
                <w:rFonts w:ascii="Times New Roman CYR" w:hAnsi="Times New Roman CYR" w:cs="Times New Roman CYR"/>
                <w:sz w:val="23"/>
                <w:szCs w:val="23"/>
              </w:rPr>
              <w:t>180</w:t>
            </w:r>
          </w:p>
        </w:tc>
        <w:tc>
          <w:tcPr>
            <w:tcW w:w="993" w:type="dxa"/>
            <w:tcBorders>
              <w:top w:val="single" w:sz="4" w:space="0" w:color="auto"/>
              <w:left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100</w:t>
            </w:r>
          </w:p>
        </w:tc>
        <w:tc>
          <w:tcPr>
            <w:tcW w:w="1699"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both"/>
              <w:rPr>
                <w:rFonts w:ascii="Times New Roman CYR" w:hAnsi="Times New Roman CYR" w:cs="Times New Roman CYR"/>
                <w:sz w:val="23"/>
                <w:szCs w:val="23"/>
              </w:rPr>
            </w:pPr>
            <w:r w:rsidRPr="00D07EE8">
              <w:rPr>
                <w:rFonts w:ascii="Times New Roman CYR" w:hAnsi="Times New Roman CYR" w:cs="Times New Roman CYR"/>
                <w:sz w:val="23"/>
                <w:szCs w:val="23"/>
              </w:rPr>
              <w:t>роста не запланировано</w:t>
            </w:r>
          </w:p>
        </w:tc>
      </w:tr>
    </w:tbl>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 Сельское хозяйство</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Отраслью, составляющей основу экономики Новоселовского района, является - сельское хозяйство.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состав субъектов агропромышленного комплекса района входят 8 сельскохозяйственных организаций различных организационно правовых форм собственности: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ЗАО «Интикульское» (растениеводство, животноводство)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ЗАО «Светлолобовское» (растениеводство, животноводство)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ЗАО «Новоселовское» (растениеводство, животноводство)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ООО «Елена» (растениеводство)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ООО «Иваново» (растениеводство)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ООО «Светлана» (растениеводство)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ООО «Анаш» (растениеводство);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ООО «Содружество» (растениеводство).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из них 3 предприятия занимаются растениеводством и животноводством, 5  предприятий занимаются только растениеводством.</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Все сельскохозяйственные предприятия по итогам 2021 года являются прибыльными.</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2021 году осуществляли производственную деятельность на территории района 62 крестьянских (фермерских) хозяйств, в том числе 25 хозяйств занимались животноводством.</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 результатам производственно-финансовой деятельности сельскохозяйственных организаций объем отгруженных товаров собственного производства, выполненных работ и услуг собственными силами за 2021 год по </w:t>
      </w:r>
      <w:r>
        <w:rPr>
          <w:rFonts w:ascii="Times New Roman CYR" w:hAnsi="Times New Roman CYR" w:cs="Times New Roman CYR"/>
          <w:sz w:val="28"/>
          <w:szCs w:val="28"/>
        </w:rPr>
        <w:lastRenderedPageBreak/>
        <w:t xml:space="preserve">отношению к предыдущему году увеличился на 23,27% и составил 1842627 тыс. рублей, в том числе от реализации продукции растениеводства – 1339451 тыс. рублей, (к 2020 году увеличение на 37,97%) продукции животноводства – 451581 тыс. рублей (к 2020 году снижение составило 5,04%). В 2022 году показатель увеличится незначительно на 0,23% </w:t>
      </w:r>
      <w:r w:rsidR="00F01246">
        <w:rPr>
          <w:rFonts w:ascii="Times New Roman CYR" w:hAnsi="Times New Roman CYR" w:cs="Times New Roman CYR"/>
          <w:sz w:val="28"/>
          <w:szCs w:val="28"/>
        </w:rPr>
        <w:t xml:space="preserve">(1846911 тыс. руб.), </w:t>
      </w:r>
      <w:r>
        <w:rPr>
          <w:rFonts w:ascii="Times New Roman CYR" w:hAnsi="Times New Roman CYR" w:cs="Times New Roman CYR"/>
          <w:sz w:val="28"/>
          <w:szCs w:val="28"/>
        </w:rPr>
        <w:t>в 2023 году рост составит 7,56% (1986484 тыс. руб.), в 2024г. – 5,57% (20967192 тыс. руб.), в 2025г. – 5,46% (2211759 тыс. руб.). увеличение обусловлено увеличением производства продукции растениеводства и животноводства.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деятельности КФХ объем произведенных товаров, выполненных работ и услуг собственными силами крестьянских (фермерских) хозяйств в 2021 году составил 652769 тыс. руб., что на 8,9% выше уровня 2020 года (599353 тыс. руб.). В 2022 году планируется незначительное увеличение данного показателя на 0,89% (снижение производства зерна на 6931 тонну, увеличение производства мяса крс на 5 тонн) и составит 658553 тыс. руб. В перспективе планируется ежегодный рост объема произведенных товаров, выполненных работ и услуг собственными силами крестьянских (фермерских) хозяйств и в 2025 году составит 803643 тыс. руб.</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8"/>
          <w:szCs w:val="28"/>
        </w:rPr>
        <w:tab/>
        <w:t xml:space="preserve">Индекс производства продукции растениеводства и животноводства по всем категориям хозяйств в 2022 году планируется в размере 86,0% от уровня 2021 года за счет снижения показателя по отрасли растениеводства – 81,5%, далее планируется незначительное увеличение данного показателя и в 2025 году составит 101,0%.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Индекс производства в сельскохозяйственных организациях в 2022 году планируется в размере 81,6% за счет снижения показателя по отрасли растениеводства – 78,9%, снижения показателя по отрасли животноводства – 90,7%, далее планируется незначительное увеличение производства основных видов продукции (зерно, молоко, мясо КРС) и в 2025 году индекс производства составит 100,6%.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хозяйства населения в 2022 году индекс производства планируется в размере 94,5% за счет снижения производства овощей, молока, мяса, яйцо в ЛПХ, далее в 2023 году планируется увеличение до 100,4%, в 2024 году 100,6% в 2025 году 100,9%.</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виды выпускаемой продукции: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зерновые культуры (пшеница, ячмень, овёс);</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масляничные культуры (семена рапса);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овощные культуры (морковь, свекла, капуста) в хозяйствах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картофель в хозяйствах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молоко;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мясо крупного рогатого скота;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мясо овец в хозяйствах ЛПХ, КФХ;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мясо свиней в хозяйствах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яйцо в хозяйствах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сельскохозяйственных организациях за 2021 год прибыль, полученная до налогообложения, составила 715177 тысяч рублей, что выше на 33,14% предыдущего года (537149 тыс. руб.), чистая прибыль 710384 тыс. рублей (2020г – 532863 тыс. руб.). Государственная поддержка сельскохозяйственным организациям в 2021 году из средств бюджетов всех уровней составила 119633 тысяч рублей (2020г. – 105905 тыс. руб.), крестьянским (фермерским) хозяйствам – 78914 тыс. рублей (2020г – 85297 тыс. руб.).</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ab/>
        <w:t>Уровень рентабельности с субсидиями составил 58,95 % (в 2020г – 50,64%), без субсидий уровень рентабельности составил 49,09% (в 2020г  -40,58%).</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Среднегодовая численность работников по отношению к 2020 году снизилась на 15 человек и составила 499 чел. (2020г – 514 чел.), в том числе занятых в сельскохозяйственном производстве 490 человек (2020г – 503 чел.).</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ab/>
        <w:t>Среднемесячная заработная плата всех работников составляет 41078 рублей, занятых в сельскохозяйственном производстве 41258 рубля, темп роста к уровню 2020 года 22,3% и 21,9 % соответственно.</w:t>
      </w:r>
    </w:p>
    <w:p w:rsidR="00627E26" w:rsidRDefault="00627E26">
      <w:pPr>
        <w:tabs>
          <w:tab w:val="left" w:pos="567"/>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инвестиций в основной капитал по сельскохозяйственным предприятиям за 2021 год составил 494548 тыс. рублей, Сельскохозяйственными организациями приобретено новой сельскохозяйственной техники: 11 тракторов, 4 зерноуборочных комбайна, 4 грузовых автомобиля, 18 единиц прочей сельскохозяйственной техники. Смонтировано 3 новых зерносушилки, из них 1 в К(Ф)Х. Коэффициент обновления тракторов составил 10 %, зерноуборочных комбайнов – 7,8%. Расходы на приобретение основных средств в К(Ф)Х за 2021 год составили 214934 тыс. рублей. (2020г – 197402 тыс. руб.).</w:t>
      </w:r>
    </w:p>
    <w:p w:rsidR="00627E26" w:rsidRDefault="00627E26" w:rsidP="006E3F30">
      <w:pPr>
        <w:tabs>
          <w:tab w:val="left" w:pos="567"/>
        </w:tabs>
        <w:autoSpaceDE w:val="0"/>
        <w:autoSpaceDN w:val="0"/>
        <w:adjustRightInd w:val="0"/>
        <w:spacing w:after="0" w:line="240" w:lineRule="auto"/>
        <w:ind w:firstLine="709"/>
        <w:jc w:val="both"/>
        <w:rPr>
          <w:rFonts w:ascii="Times New Roman CYR" w:hAnsi="Times New Roman CYR" w:cs="Times New Roman CYR"/>
          <w:color w:val="000000"/>
          <w:sz w:val="12"/>
          <w:szCs w:val="12"/>
        </w:rPr>
      </w:pPr>
      <w:r>
        <w:rPr>
          <w:rFonts w:ascii="Times New Roman CYR" w:hAnsi="Times New Roman CYR" w:cs="Times New Roman CYR"/>
          <w:sz w:val="28"/>
          <w:szCs w:val="28"/>
        </w:rPr>
        <w:t>В 2022 году планируется снижение инвестиций в основной капитал по полному кругу сельскохозяйственных организаций на 29,98%,и составит 348300 тыс. руб. (отразился высокий рост цен на сельскохозяйственную технику и животноводческое оборудование). В 2023 году этот показатель составит 766430 тыс. рублей, планируется ввод в эксплуатацию коровника на 560 скотомест в ЗАО «Светлолобовское». В перспективе к 2025 году запланирован рост данного показателя к уровню 2022 года на 4,5% и составит 362110 тыс. руб.</w:t>
      </w:r>
    </w:p>
    <w:p w:rsidR="006E3F30" w:rsidRDefault="006E3F30">
      <w:pPr>
        <w:widowControl w:val="0"/>
        <w:autoSpaceDE w:val="0"/>
        <w:autoSpaceDN w:val="0"/>
        <w:adjustRightInd w:val="0"/>
        <w:spacing w:after="0" w:line="240" w:lineRule="auto"/>
        <w:rPr>
          <w:rFonts w:ascii="Times New Roman CYR" w:hAnsi="Times New Roman CYR" w:cs="Times New Roman CYR"/>
          <w:b/>
          <w:bCs/>
          <w:color w:val="000000"/>
          <w:sz w:val="28"/>
          <w:szCs w:val="28"/>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3.1. Растениеводство</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района ведущие хозяйства в области растениеводства: ЗАО «Светлолобовское», ЗАО «Интикульское», ЗАО «Новоселовское».</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Основные виды выпускаемой продукции: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зерновые культуры (пшеница, ячмень, овёс);</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овощные культуры (морковь, свекла, капуста) в хозяйствах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картофель в хозяйствах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2021 году площадь сельскохозяйственных угодий используемых сельскохозяйственными товаропроизводителями составила 116497 га.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Посевы сельскохозяйственных культур хозяйств всех категорий размещены на площади 69999 га, (в 2020г – 68458 га) из них под зерновыми и зернобобовыми культурами было занято 55549га. (в 2020г – 56502га.). в том числе посевы на территории других районов осуществляют: в Ужурском районе ЗАО «Светлолобовское» на площади 2112 га., ООО «Иваново» на площади 2100 га, И.П. глава К(Ф)Х Алиев А.Г. на площади – 500 га, в Балахтинском районе И.П. глава К(Ф)Х Алиев А.Г. на площади – 500 га.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Снижение посевных площадей зерновых культур в сравнении с 2020 годом связано с увеличением посевов рапса на технические цели, что обусловлено высокой рентабельностью и востребованностью семян ярового рапса на внутреннем и внешнем рынке края, в 2021 году площадь посевов рапса составила 4910 га. Далее в среднесрочной перспективе к 2025 году посевы зерновых культур планируются на площади – 48140 га.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Урожайность зерновых культур в весе после доработки в хозяйствах всех категорий составила 28,59 цн./га., в том числе в сельскохозяйственных организациях, включенных в отчет – 32,3 цн./га (в 2020 году – 35,3 цн/га),в 2022 году данный показатель планируется 24,57 цн/га, до 2025 года урожайность зерновых культур прогнозируется с незначительным ростом и составит – 25,27 ц/га.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2022 году планируется снижение производства зерна на 30,22% по отношению к 2021 году (174328,4 тонн) за счет снижения посевных площадей зерновых культур на 2625 га, (увеличения посевов рапса), снижения урожайности на 4,02 цн/га., далее в среднесрочной перспективе планируется незначительное увеличение производства зерна (в весе после доработки), за счёт стабильной урожайности зерновых и незначительного роста увеличения посевных площадей. В 2025 году данный показатель составит 121649,8 тонн, что ниже на 5,19 % к среднему показателю за 2017 – 2021гг (127961 тонн).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2021 год в целом по отрасли растениеводства в сельскохозяйственных организациях получена прибыль в размере 651211 тыс. руб. (в 2020 году прибыль в сумме - 419652 тыс. руб.).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Уровень рентабельности по отрасли растениеводства составил 94,62 % (в 2020г – 76,17%).</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3.2 Животноводство</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производителями продукции животноводства (мясо, молоко) являются: ЗАО «Светлолобовское», ЗАО «Интикульское», личные подсобные хозяйства граждан, К(ФХ) (мясо КРС).</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Основные виды выпускаемой продукции:</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молоко;</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мясо крупного рогатого скота;</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мясо овец в хозяйствах ЛПХ, КФХ;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8"/>
          <w:szCs w:val="28"/>
        </w:rPr>
        <w:t>- мясо свиней, овец в хозяйствах ЛПХ.</w:t>
      </w:r>
      <w:r>
        <w:rPr>
          <w:rFonts w:ascii="Times New Roman CYR" w:hAnsi="Times New Roman CYR" w:cs="Times New Roman CYR"/>
          <w:sz w:val="24"/>
          <w:szCs w:val="24"/>
        </w:rPr>
        <w:t xml:space="preserve">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отрасли животноводства следует отметить, что производственные показатели ниже показателей 2020 года. В сельскохозяйственных предприятиях, вошедших в сводный отчет, поголовье крупного рогатого скота на конец года составило 6633 голов, в том числе коров – 1910 головы, в сравнении с аналогичным периодом предыдущего года снижение общего поголовья крупного рогатого скота составляет 3,73 %. Поголовье коров снизилось на 382 головы (снижение поголовья коров в ЗАО «Светлолобовское» на 300 голов, в АО «Интикульское» - 82 головы.)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 учетом ЛПХ поголовье КРС составило в 2021 году 11956 голов (2020 – 12396 голов) в 2022 году ожидается – 11054 голов снижение поголовья в ЛПХ на 110 голов, в сельскохозяйственных организациях на 1023 головы (ликвидация отрасли животноводства в АО «Интикульское»), к 2025 году поголовье КРС составит 11455 голов. В 2021 году снизилось поголовье коров на 420 голов и составило 4403 головы, в 2022 году этот показатель составит 4042 головы (снижение за счет снижения поголовья коров в ЛПХ на 84 головы, в АО «Интикульское» на 410 голов), к 2025 году этот показатель составит 4170 голов.</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развитие скотоводства в крестьянских (фермерских) хозяйствах, поголовье крупного рогатого скота мясного и молочного направления на конец года в К(Ф)Х составило 2663 головы, что на 20,17% выше предыдущего года. Увеличение поголовья в КФХ связано с предоставлением грантов начинающим фермерам на развитие животноводства в районе.</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1 января текущего года поголовье овец составило 1912 голов. В 2022 году поголовье овец увеличится до 2588 голов, ликвидируют поголовье в двух крестьянских (фермерских) хозяйствах, ликвидируют поголовье овец в АО «Интикульское», но увеличится поголовье овец у граждан, ведущих личные подсобные хозяйства на 1199 голов. К 2025 году данный показатель планируется довести до 2695 голов, прогнозируется увеличение поголовья овец в ЛПХ.</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производством молока занималось одно сельскохозяйственное предприятие (ЗАО «Светлолобовское»), два К(Ф)Х, ЛПХ.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Валовое производство молока в хозяйствах всех категорий за 2021 год составило 16983 тонны, что ниже показателя  2020 года на 1694 тонны (2020 – 18677 тонн.). В сравнении с 2020 годом продуктивность коров снизилась  на 120,18 кг., и составила 6066,76 кг. на фуражную корову. С учётом ЛПХ населения, К(Ф)Х производство молока в 2022 году планируется со снижением на 8,67%, что составит 15628 тонн (за счет снижения поголовья коров в личных </w:t>
      </w:r>
      <w:r>
        <w:rPr>
          <w:rFonts w:ascii="Times New Roman CYR" w:hAnsi="Times New Roman CYR" w:cs="Times New Roman CYR"/>
          <w:sz w:val="28"/>
          <w:szCs w:val="28"/>
        </w:rPr>
        <w:lastRenderedPageBreak/>
        <w:t>подсобных хозяйствах граждан на 84 головы, среднегодового поголовья коров в ЗАО «Светлолобовское» - 221 голова). В 2023-2025 гг. планируется увеличение производства молока в пределах 1,1% ежегодно и в 2025 году составит 15982 тонны.</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занимались выращиванием крупного рогатого скота по мясной технологии 27 сельхозтоваропроизводителей, из них 25 КФХ.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Производство скота и птицы на убой (в живом весе) с учётом ЛПХ, К(Ф)Х в 2021 году составило 3785 тонн, что на 270 тонн ниже показателя 2020 года. В 2022 году планируется снижение на 5,94 %, что составит 3560 тонн, (ликвидация отрасли животноводства в АО «Интикульское», за счет снижения поголовья овец, свиней, крупного рогатого скота в ЛПХ). В среднесрочной перспективе данный показатель незначительно снизится и к 2025 году составит –3506 тонн. </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2021 году два хозяйства района имеют статус племенных репродукторов - это ЗАО «Светлолобовское», и ЗАО «Интикульское, которое является одним из немногих в крае племенным репродуктором по мясному скотоводству, по разведению  герефордской породы. Существенную роль в выручке, полученной от продажи крупного рогатого скота в живом весе имеет реализация племенного скота. За год было продано 352 головы на сумму 58812,9 тыс. рублей, цена реализации 1 племенной головы составила 167 тыс. рублей.</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2022 году продажа планируется 330 голов, в том числе КРС мясного направления 130 голов. К 2025 году продажа племенного крупного рогатого скота молочного направления составит 230 голов, продажи племенного скота мясного направления не планируется так, как в АО «Интикульское» ликвидируют отрасль животноводства.</w:t>
      </w:r>
    </w:p>
    <w:p w:rsidR="00627E26" w:rsidRDefault="00627E26">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2021 году по сельскохозяйственным организациям по отрасли животноводства, с учетом первичной переработки получена прибыль в сумме 13457 тыс. рублей, в 2020 г - 25529 тыс. руб. По итогам работы 2021 года отрасль животноводства рентабельна, рентабельность составила 3,07%.</w:t>
      </w:r>
    </w:p>
    <w:p w:rsidR="006E3F30" w:rsidRDefault="006E3F30">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 Строительство</w:t>
      </w: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4.1. Жилищное строительство</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 данным Красноярскстата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 01.01.2022 года общая площадь жилищного фонда всех форм собственности составила 309,85 тыс.м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Ввод в эксплуатацию жилых домов за счёт всех источников финансирования за 2021 год составил 1873,3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общей площади, в том числе:</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vertAlign w:val="subscript"/>
        </w:rPr>
      </w:pPr>
      <w:r>
        <w:rPr>
          <w:rFonts w:ascii="Times New Roman CYR" w:hAnsi="Times New Roman CYR" w:cs="Times New Roman CYR"/>
          <w:sz w:val="28"/>
          <w:szCs w:val="28"/>
        </w:rPr>
        <w:t>- ввод в эксплуатацию индивидуальных жилых домов, построенных населением – 1873,3 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vertAlign w:val="subscript"/>
        </w:rPr>
        <w:t>.</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2022 году планируется ввести в эксплуатацию 1650 м</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в 2023 -2025 гг. планируется ввод жилья по  1000 м</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 xml:space="preserve">ежегодно.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Площадь земельных участков, предоставленных для жилищного строительства в 2021 году составила 2,92 га.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было выделено 20 земельных участка для ИЖС общей площадью -  2,9230га.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2022 году и в перспективе до 2024 г. планируется выделение земельных участков для ИЖС общей площадью по 2,9 га. ежегодно.</w:t>
      </w:r>
    </w:p>
    <w:p w:rsidR="00627E26" w:rsidRDefault="00627E26">
      <w:pPr>
        <w:autoSpaceDE w:val="0"/>
        <w:autoSpaceDN w:val="0"/>
        <w:adjustRightInd w:val="0"/>
        <w:spacing w:after="0" w:line="240" w:lineRule="auto"/>
        <w:jc w:val="both"/>
        <w:rPr>
          <w:rFonts w:ascii="Times New Roman CYR"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121"/>
        <w:gridCol w:w="890"/>
        <w:gridCol w:w="890"/>
        <w:gridCol w:w="950"/>
        <w:gridCol w:w="1027"/>
        <w:gridCol w:w="1027"/>
      </w:tblGrid>
      <w:tr w:rsidR="00627E26" w:rsidRPr="00D07EE8">
        <w:tblPrEx>
          <w:tblCellMar>
            <w:top w:w="0" w:type="dxa"/>
            <w:bottom w:w="0" w:type="dxa"/>
          </w:tblCellMar>
        </w:tblPrEx>
        <w:trPr>
          <w:trHeight w:val="300"/>
        </w:trPr>
        <w:tc>
          <w:tcPr>
            <w:tcW w:w="5121" w:type="dxa"/>
            <w:vMerge w:val="restart"/>
            <w:tcBorders>
              <w:top w:val="single" w:sz="4" w:space="0" w:color="auto"/>
              <w:bottom w:val="single" w:sz="4" w:space="0" w:color="auto"/>
              <w:right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r w:rsidRPr="00D07EE8">
              <w:rPr>
                <w:rFonts w:ascii="Times New Roman CYR" w:hAnsi="Times New Roman CYR" w:cs="Times New Roman CYR"/>
                <w:sz w:val="24"/>
                <w:szCs w:val="24"/>
              </w:rPr>
              <w:t>Наименование показателя и единицы измерения</w:t>
            </w:r>
          </w:p>
        </w:tc>
        <w:tc>
          <w:tcPr>
            <w:tcW w:w="4784" w:type="dxa"/>
            <w:gridSpan w:val="5"/>
            <w:tcBorders>
              <w:top w:val="single" w:sz="4" w:space="0" w:color="auto"/>
              <w:left w:val="single" w:sz="4" w:space="0" w:color="auto"/>
              <w:bottom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r w:rsidRPr="00D07EE8">
              <w:rPr>
                <w:rFonts w:ascii="Times New Roman CYR" w:hAnsi="Times New Roman CYR" w:cs="Times New Roman CYR"/>
                <w:sz w:val="24"/>
                <w:szCs w:val="24"/>
              </w:rPr>
              <w:t>Значения показателя</w:t>
            </w:r>
          </w:p>
        </w:tc>
      </w:tr>
      <w:tr w:rsidR="00627E26" w:rsidRPr="00D07EE8">
        <w:tblPrEx>
          <w:tblCellMar>
            <w:top w:w="0" w:type="dxa"/>
            <w:bottom w:w="0" w:type="dxa"/>
          </w:tblCellMar>
        </w:tblPrEx>
        <w:trPr>
          <w:trHeight w:val="600"/>
        </w:trPr>
        <w:tc>
          <w:tcPr>
            <w:tcW w:w="5121" w:type="dxa"/>
            <w:vMerge/>
            <w:tcBorders>
              <w:top w:val="single" w:sz="4" w:space="0" w:color="auto"/>
              <w:bottom w:val="single" w:sz="4" w:space="0" w:color="auto"/>
              <w:right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2020 факт</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2021 факт</w:t>
            </w:r>
          </w:p>
        </w:tc>
        <w:tc>
          <w:tcPr>
            <w:tcW w:w="95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2022 оценка</w:t>
            </w:r>
          </w:p>
        </w:tc>
        <w:tc>
          <w:tcPr>
            <w:tcW w:w="1027"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2023 прогноз</w:t>
            </w:r>
          </w:p>
        </w:tc>
        <w:tc>
          <w:tcPr>
            <w:tcW w:w="1027" w:type="dxa"/>
            <w:tcBorders>
              <w:top w:val="single" w:sz="4" w:space="0" w:color="auto"/>
              <w:left w:val="single" w:sz="4" w:space="0" w:color="auto"/>
              <w:bottom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2024 прогноз</w:t>
            </w:r>
          </w:p>
        </w:tc>
      </w:tr>
      <w:tr w:rsidR="00627E26" w:rsidRPr="00D07EE8">
        <w:tblPrEx>
          <w:tblCellMar>
            <w:top w:w="0" w:type="dxa"/>
            <w:bottom w:w="0" w:type="dxa"/>
          </w:tblCellMar>
        </w:tblPrEx>
        <w:trPr>
          <w:trHeight w:val="600"/>
        </w:trPr>
        <w:tc>
          <w:tcPr>
            <w:tcW w:w="5121" w:type="dxa"/>
            <w:tcBorders>
              <w:top w:val="single" w:sz="4" w:space="0" w:color="auto"/>
              <w:bottom w:val="single" w:sz="4" w:space="0" w:color="auto"/>
              <w:right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r w:rsidRPr="00D07EE8">
              <w:rPr>
                <w:rFonts w:ascii="Times New Roman CYR" w:hAnsi="Times New Roman CYR" w:cs="Times New Roman CYR"/>
                <w:sz w:val="24"/>
                <w:szCs w:val="24"/>
              </w:rPr>
              <w:t>1. Площадь земельных участков, предоставленных для строительства, га,  всего</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2,75</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2,92</w:t>
            </w:r>
          </w:p>
        </w:tc>
        <w:tc>
          <w:tcPr>
            <w:tcW w:w="95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2,90</w:t>
            </w:r>
          </w:p>
        </w:tc>
        <w:tc>
          <w:tcPr>
            <w:tcW w:w="1027"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w:t>
            </w:r>
          </w:p>
        </w:tc>
        <w:tc>
          <w:tcPr>
            <w:tcW w:w="1027" w:type="dxa"/>
            <w:tcBorders>
              <w:top w:val="single" w:sz="4" w:space="0" w:color="auto"/>
              <w:left w:val="single" w:sz="4" w:space="0" w:color="auto"/>
              <w:bottom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w:t>
            </w:r>
          </w:p>
        </w:tc>
      </w:tr>
      <w:tr w:rsidR="00627E26" w:rsidRPr="00D07EE8">
        <w:tblPrEx>
          <w:tblCellMar>
            <w:top w:w="0" w:type="dxa"/>
            <w:bottom w:w="0" w:type="dxa"/>
          </w:tblCellMar>
        </w:tblPrEx>
        <w:trPr>
          <w:trHeight w:val="555"/>
        </w:trPr>
        <w:tc>
          <w:tcPr>
            <w:tcW w:w="5121" w:type="dxa"/>
            <w:tcBorders>
              <w:top w:val="single" w:sz="4" w:space="0" w:color="auto"/>
              <w:bottom w:val="single" w:sz="4" w:space="0" w:color="auto"/>
              <w:right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r w:rsidRPr="00D07EE8">
              <w:rPr>
                <w:rFonts w:ascii="Times New Roman CYR" w:hAnsi="Times New Roman CYR" w:cs="Times New Roman CYR"/>
                <w:sz w:val="24"/>
                <w:szCs w:val="24"/>
              </w:rPr>
              <w:t>1.1. для жилищного строительства (в т.ч. для ИЖС),  га</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2,64</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2,92</w:t>
            </w:r>
          </w:p>
        </w:tc>
        <w:tc>
          <w:tcPr>
            <w:tcW w:w="95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2,90</w:t>
            </w:r>
          </w:p>
        </w:tc>
        <w:tc>
          <w:tcPr>
            <w:tcW w:w="1027"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w:t>
            </w:r>
          </w:p>
        </w:tc>
        <w:tc>
          <w:tcPr>
            <w:tcW w:w="1027" w:type="dxa"/>
            <w:tcBorders>
              <w:top w:val="single" w:sz="4" w:space="0" w:color="auto"/>
              <w:left w:val="single" w:sz="4" w:space="0" w:color="auto"/>
              <w:bottom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2,9</w:t>
            </w:r>
          </w:p>
        </w:tc>
      </w:tr>
      <w:tr w:rsidR="00627E26" w:rsidRPr="00D07EE8">
        <w:tblPrEx>
          <w:tblCellMar>
            <w:top w:w="0" w:type="dxa"/>
            <w:bottom w:w="0" w:type="dxa"/>
          </w:tblCellMar>
        </w:tblPrEx>
        <w:trPr>
          <w:trHeight w:val="765"/>
        </w:trPr>
        <w:tc>
          <w:tcPr>
            <w:tcW w:w="5121" w:type="dxa"/>
            <w:tcBorders>
              <w:top w:val="single" w:sz="4" w:space="0" w:color="auto"/>
              <w:bottom w:val="single" w:sz="4" w:space="0" w:color="auto"/>
              <w:right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r w:rsidRPr="00D07EE8">
              <w:rPr>
                <w:rFonts w:ascii="Times New Roman CYR" w:hAnsi="Times New Roman CYR" w:cs="Times New Roman CYR"/>
                <w:sz w:val="24"/>
                <w:szCs w:val="24"/>
              </w:rPr>
              <w:t>1.2. для комплексного освоения в целях жилищного строительства, га</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c>
          <w:tcPr>
            <w:tcW w:w="95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c>
          <w:tcPr>
            <w:tcW w:w="1027"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c>
          <w:tcPr>
            <w:tcW w:w="1027" w:type="dxa"/>
            <w:tcBorders>
              <w:top w:val="single" w:sz="4" w:space="0" w:color="auto"/>
              <w:left w:val="single" w:sz="4" w:space="0" w:color="auto"/>
              <w:bottom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r>
      <w:tr w:rsidR="00627E26" w:rsidRPr="00D07EE8">
        <w:tblPrEx>
          <w:tblCellMar>
            <w:top w:w="0" w:type="dxa"/>
            <w:bottom w:w="0" w:type="dxa"/>
          </w:tblCellMar>
        </w:tblPrEx>
        <w:trPr>
          <w:trHeight w:val="600"/>
        </w:trPr>
        <w:tc>
          <w:tcPr>
            <w:tcW w:w="5121" w:type="dxa"/>
            <w:tcBorders>
              <w:top w:val="single" w:sz="4" w:space="0" w:color="auto"/>
              <w:bottom w:val="single" w:sz="4" w:space="0" w:color="auto"/>
              <w:right w:val="single" w:sz="4" w:space="0" w:color="auto"/>
            </w:tcBorders>
          </w:tcPr>
          <w:p w:rsidR="00627E26" w:rsidRPr="00D07EE8" w:rsidRDefault="00627E26">
            <w:pPr>
              <w:widowControl w:val="0"/>
              <w:autoSpaceDE w:val="0"/>
              <w:autoSpaceDN w:val="0"/>
              <w:adjustRightInd w:val="0"/>
              <w:spacing w:after="0" w:line="240" w:lineRule="auto"/>
              <w:rPr>
                <w:rFonts w:ascii="Times New Roman CYR" w:hAnsi="Times New Roman CYR" w:cs="Times New Roman CYR"/>
                <w:sz w:val="24"/>
                <w:szCs w:val="24"/>
              </w:rPr>
            </w:pPr>
            <w:r w:rsidRPr="00D07EE8">
              <w:rPr>
                <w:rFonts w:ascii="Times New Roman CYR" w:hAnsi="Times New Roman CYR" w:cs="Times New Roman CYR"/>
                <w:sz w:val="24"/>
                <w:szCs w:val="24"/>
              </w:rPr>
              <w:t>1.3. для строительства объектов, не являющихся объектами жилищного строительства, га</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0,11</w:t>
            </w:r>
          </w:p>
        </w:tc>
        <w:tc>
          <w:tcPr>
            <w:tcW w:w="89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c>
          <w:tcPr>
            <w:tcW w:w="950"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c>
          <w:tcPr>
            <w:tcW w:w="1027" w:type="dxa"/>
            <w:tcBorders>
              <w:top w:val="single" w:sz="4" w:space="0" w:color="auto"/>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c>
          <w:tcPr>
            <w:tcW w:w="1027" w:type="dxa"/>
            <w:tcBorders>
              <w:top w:val="single" w:sz="4" w:space="0" w:color="auto"/>
              <w:left w:val="single" w:sz="4" w:space="0" w:color="auto"/>
              <w:bottom w:val="single" w:sz="4" w:space="0" w:color="auto"/>
            </w:tcBorders>
            <w:vAlign w:val="center"/>
          </w:tcPr>
          <w:p w:rsidR="00627E26" w:rsidRPr="00D07EE8" w:rsidRDefault="00627E26">
            <w:pPr>
              <w:autoSpaceDE w:val="0"/>
              <w:autoSpaceDN w:val="0"/>
              <w:adjustRightInd w:val="0"/>
              <w:spacing w:after="0"/>
              <w:jc w:val="center"/>
              <w:rPr>
                <w:rFonts w:ascii="Times New Roman CYR" w:hAnsi="Times New Roman CYR" w:cs="Times New Roman CYR"/>
                <w:color w:val="000000"/>
                <w:sz w:val="21"/>
                <w:szCs w:val="21"/>
              </w:rPr>
            </w:pPr>
            <w:r w:rsidRPr="00D07EE8">
              <w:rPr>
                <w:rFonts w:ascii="Times New Roman CYR" w:hAnsi="Times New Roman CYR" w:cs="Times New Roman CYR"/>
                <w:color w:val="000000"/>
                <w:sz w:val="21"/>
                <w:szCs w:val="21"/>
              </w:rPr>
              <w:t>0,00</w:t>
            </w:r>
          </w:p>
        </w:tc>
      </w:tr>
    </w:tbl>
    <w:p w:rsidR="00627E26" w:rsidRDefault="00627E26">
      <w:pPr>
        <w:autoSpaceDE w:val="0"/>
        <w:autoSpaceDN w:val="0"/>
        <w:adjustRightInd w:val="0"/>
        <w:rPr>
          <w:rFonts w:cs="Calibri"/>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5. Инвестиции</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2021 году объем инвестиций в основной капитал за счет всех источников финансирования по полному кругу хозяйствующих субъектов составил – 591580 тыс.  руб. и увеличился к уровню прошлого года на 10,1% (54072 тыс. рублей).</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Объём инвестиций в основной капитал за счет средств бюджетов всех уровней в 2021 году составил 129504 тыс. рублей – это 89,6% от значения 2020 года. Данное снижение  обусловлено тем, что в 2020 году были освоены инвестиции более 57 млн. рублей по Разделу N: Деятельность административная и сопутствующие дополнительные услуги, за счет государственных программ в Новоселовском сельсовете («Содействие развитию местного самоуправления» и  «Содействие органам местного самоуправления и формирование современной городской среды»).</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2022 году запланировано незначительное увеличение данного показателя, что составит 440330 тыс. рублей.  Увеличение  за счет того, что  в 2022 году запланированы с увеличением инвестиции по сельскохозяйственной отрасли и за счет бюджетных средств:</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в соответствии с постановлением Правительства Красноярского края от 28.12.2021 №971-п (п.Кома и п.Интикуль, всего - </w:t>
      </w:r>
      <w:r>
        <w:rPr>
          <w:rFonts w:ascii="Times New Roman CYR" w:hAnsi="Times New Roman CYR" w:cs="Times New Roman CYR"/>
          <w:b/>
          <w:bCs/>
          <w:sz w:val="28"/>
          <w:szCs w:val="28"/>
        </w:rPr>
        <w:t>7052,7</w:t>
      </w:r>
      <w:r>
        <w:rPr>
          <w:rFonts w:ascii="Times New Roman CYR" w:hAnsi="Times New Roman CYR" w:cs="Times New Roman CYR"/>
          <w:sz w:val="28"/>
          <w:szCs w:val="28"/>
        </w:rPr>
        <w:t xml:space="preserve"> тыс.руб., в том числе:  краевой бюджет – 7045,7 тыс. руб., местный бюджет – 7 тыс. руб.);</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Субсидии бюджетам муниципальных образований края на строительство и реконструкцию (модернизацию) объектов питьевого водоснабжения в рамках подпрограммы «Чистая вода» государственной программы Красноярского края «Реформирование и модернизация жилищно-коммунального хозяйства в и повышение энергетической эффективности», в соответствии с Законом Красноярского края от 09.12.2021 №2-255 (п.Толстый Мыс, всего – </w:t>
      </w:r>
      <w:r>
        <w:rPr>
          <w:rFonts w:ascii="Times New Roman CYR" w:hAnsi="Times New Roman CYR" w:cs="Times New Roman CYR"/>
          <w:b/>
          <w:bCs/>
          <w:sz w:val="28"/>
          <w:szCs w:val="28"/>
        </w:rPr>
        <w:t>70893,4</w:t>
      </w:r>
      <w:r>
        <w:rPr>
          <w:rFonts w:ascii="Times New Roman CYR" w:hAnsi="Times New Roman CYR" w:cs="Times New Roman CYR"/>
          <w:sz w:val="28"/>
          <w:szCs w:val="28"/>
        </w:rPr>
        <w:t xml:space="preserve"> тыс.руб., в том числе; краевой бюджет – 70191,4 тыс.руб., местный бюджет – 702 тыс.руб.);</w:t>
      </w: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Иные межбюджетные трансферты бюджетам муниципальных образований на  устройство плоскостных сооружений в сельской местности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 в соответствии с постановлением Правительства Красноярского края от 11.02.2022 №80-п (с.Новоселово, всего – </w:t>
      </w:r>
      <w:r>
        <w:rPr>
          <w:rFonts w:ascii="Times New Roman CYR" w:hAnsi="Times New Roman CYR" w:cs="Times New Roman CYR"/>
          <w:b/>
          <w:bCs/>
          <w:sz w:val="28"/>
          <w:szCs w:val="28"/>
        </w:rPr>
        <w:t>4045</w:t>
      </w:r>
      <w:r>
        <w:rPr>
          <w:rFonts w:ascii="Times New Roman CYR" w:hAnsi="Times New Roman CYR" w:cs="Times New Roman CYR"/>
          <w:sz w:val="28"/>
          <w:szCs w:val="28"/>
        </w:rPr>
        <w:t xml:space="preserve"> тыс. руб., в том числе: краевой бюджет – 4000 тыс.руб., местный бюджет – 45 тыс. руб.);</w:t>
      </w:r>
    </w:p>
    <w:p w:rsidR="00627E26" w:rsidRDefault="00627E26">
      <w:pPr>
        <w:shd w:val="clear" w:color="auto" w:fill="FFFFFF"/>
        <w:autoSpaceDE w:val="0"/>
        <w:autoSpaceDN w:val="0"/>
        <w:adjustRightInd w:val="0"/>
        <w:spacing w:after="150" w:line="240" w:lineRule="auto"/>
        <w:ind w:firstLine="567"/>
        <w:jc w:val="both"/>
        <w:rPr>
          <w:rFonts w:cs="Calibri"/>
          <w:color w:val="FF0000"/>
          <w:sz w:val="28"/>
          <w:szCs w:val="28"/>
        </w:rPr>
      </w:pPr>
      <w:r>
        <w:rPr>
          <w:rFonts w:cs="Calibri"/>
          <w:b/>
          <w:bCs/>
          <w:sz w:val="28"/>
          <w:szCs w:val="28"/>
        </w:rPr>
        <w:t xml:space="preserve">- </w:t>
      </w:r>
      <w:r>
        <w:rPr>
          <w:rFonts w:ascii="Times New Roman CYR" w:hAnsi="Times New Roman CYR" w:cs="Times New Roman CYR"/>
          <w:b/>
          <w:bCs/>
          <w:sz w:val="28"/>
          <w:szCs w:val="28"/>
        </w:rPr>
        <w:t>С</w:t>
      </w:r>
      <w:r>
        <w:rPr>
          <w:rFonts w:ascii="Times New Roman CYR" w:hAnsi="Times New Roman CYR" w:cs="Times New Roman CYR"/>
          <w:sz w:val="28"/>
          <w:szCs w:val="28"/>
        </w:rPr>
        <w:t>убсидия</w:t>
      </w:r>
      <w:r>
        <w:rPr>
          <w:rFonts w:cs="Calibri"/>
          <w:sz w:val="28"/>
          <w:szCs w:val="28"/>
        </w:rPr>
        <w:t xml:space="preserve"> </w:t>
      </w:r>
      <w:r>
        <w:rPr>
          <w:rFonts w:ascii="Times New Roman CYR" w:hAnsi="Times New Roman CYR" w:cs="Times New Roman CYR"/>
          <w:sz w:val="28"/>
          <w:szCs w:val="28"/>
        </w:rPr>
        <w:t>бюджетам</w:t>
      </w:r>
      <w:r>
        <w:rPr>
          <w:rFonts w:cs="Calibri"/>
          <w:sz w:val="28"/>
          <w:szCs w:val="28"/>
        </w:rPr>
        <w:t xml:space="preserve"> </w:t>
      </w:r>
      <w:r>
        <w:rPr>
          <w:rFonts w:ascii="Times New Roman CYR" w:hAnsi="Times New Roman CYR" w:cs="Times New Roman CYR"/>
          <w:sz w:val="28"/>
          <w:szCs w:val="28"/>
        </w:rPr>
        <w:t>муниципальных</w:t>
      </w:r>
      <w:r>
        <w:rPr>
          <w:rFonts w:cs="Calibri"/>
          <w:sz w:val="28"/>
          <w:szCs w:val="28"/>
        </w:rPr>
        <w:t xml:space="preserve"> </w:t>
      </w:r>
      <w:r>
        <w:rPr>
          <w:rFonts w:ascii="Times New Roman CYR" w:hAnsi="Times New Roman CYR" w:cs="Times New Roman CYR"/>
          <w:sz w:val="28"/>
          <w:szCs w:val="28"/>
        </w:rPr>
        <w:t>образований</w:t>
      </w:r>
      <w:r>
        <w:rPr>
          <w:rFonts w:cs="Calibri"/>
          <w:sz w:val="28"/>
          <w:szCs w:val="28"/>
        </w:rPr>
        <w:t xml:space="preserve"> </w:t>
      </w:r>
      <w:r>
        <w:rPr>
          <w:rFonts w:ascii="Times New Roman CYR" w:hAnsi="Times New Roman CYR" w:cs="Times New Roman CYR"/>
          <w:sz w:val="28"/>
          <w:szCs w:val="28"/>
        </w:rPr>
        <w:t>Красноярского</w:t>
      </w:r>
      <w:r>
        <w:rPr>
          <w:rFonts w:cs="Calibri"/>
          <w:sz w:val="28"/>
          <w:szCs w:val="28"/>
        </w:rPr>
        <w:t xml:space="preserve"> </w:t>
      </w:r>
      <w:r>
        <w:rPr>
          <w:rFonts w:ascii="Times New Roman CYR" w:hAnsi="Times New Roman CYR" w:cs="Times New Roman CYR"/>
          <w:sz w:val="28"/>
          <w:szCs w:val="28"/>
        </w:rPr>
        <w:t>края</w:t>
      </w:r>
      <w:r>
        <w:rPr>
          <w:rFonts w:cs="Calibri"/>
          <w:sz w:val="28"/>
          <w:szCs w:val="28"/>
        </w:rPr>
        <w:t xml:space="preserve"> </w:t>
      </w:r>
      <w:r>
        <w:rPr>
          <w:rFonts w:ascii="Times New Roman CYR" w:hAnsi="Times New Roman CYR" w:cs="Times New Roman CYR"/>
          <w:sz w:val="28"/>
          <w:szCs w:val="28"/>
        </w:rPr>
        <w:t>на</w:t>
      </w:r>
      <w:r>
        <w:rPr>
          <w:rFonts w:cs="Calibri"/>
          <w:sz w:val="28"/>
          <w:szCs w:val="28"/>
        </w:rPr>
        <w:t xml:space="preserve"> </w:t>
      </w:r>
      <w:r>
        <w:rPr>
          <w:rFonts w:ascii="Times New Roman CYR" w:hAnsi="Times New Roman CYR" w:cs="Times New Roman CYR"/>
          <w:sz w:val="28"/>
          <w:szCs w:val="28"/>
        </w:rPr>
        <w:t>финансирование</w:t>
      </w:r>
      <w:r>
        <w:rPr>
          <w:rFonts w:cs="Calibri"/>
          <w:sz w:val="28"/>
          <w:szCs w:val="28"/>
        </w:rPr>
        <w:t xml:space="preserve"> (</w:t>
      </w:r>
      <w:r>
        <w:rPr>
          <w:rFonts w:ascii="Times New Roman CYR" w:hAnsi="Times New Roman CYR" w:cs="Times New Roman CYR"/>
          <w:sz w:val="28"/>
          <w:szCs w:val="28"/>
        </w:rPr>
        <w:t>возмещение</w:t>
      </w:r>
      <w:r>
        <w:rPr>
          <w:rFonts w:cs="Calibri"/>
          <w:sz w:val="28"/>
          <w:szCs w:val="28"/>
        </w:rPr>
        <w:t xml:space="preserve">) </w:t>
      </w:r>
      <w:r>
        <w:rPr>
          <w:rFonts w:ascii="Times New Roman CYR" w:hAnsi="Times New Roman CYR" w:cs="Times New Roman CYR"/>
          <w:sz w:val="28"/>
          <w:szCs w:val="28"/>
        </w:rPr>
        <w:t>расходов</w:t>
      </w:r>
      <w:r>
        <w:rPr>
          <w:rFonts w:cs="Calibri"/>
          <w:sz w:val="28"/>
          <w:szCs w:val="28"/>
        </w:rPr>
        <w:t xml:space="preserve">, </w:t>
      </w:r>
      <w:r>
        <w:rPr>
          <w:rFonts w:ascii="Times New Roman CYR" w:hAnsi="Times New Roman CYR" w:cs="Times New Roman CYR"/>
          <w:sz w:val="28"/>
          <w:szCs w:val="28"/>
        </w:rPr>
        <w:t>направленных</w:t>
      </w:r>
      <w:r>
        <w:rPr>
          <w:rFonts w:cs="Calibri"/>
          <w:sz w:val="28"/>
          <w:szCs w:val="28"/>
        </w:rPr>
        <w:t xml:space="preserve"> </w:t>
      </w:r>
      <w:r>
        <w:rPr>
          <w:rFonts w:ascii="Times New Roman CYR" w:hAnsi="Times New Roman CYR" w:cs="Times New Roman CYR"/>
          <w:sz w:val="28"/>
          <w:szCs w:val="28"/>
        </w:rPr>
        <w:t>на</w:t>
      </w:r>
      <w:r>
        <w:rPr>
          <w:rFonts w:cs="Calibri"/>
          <w:sz w:val="28"/>
          <w:szCs w:val="28"/>
        </w:rPr>
        <w:t xml:space="preserve"> </w:t>
      </w:r>
      <w:r>
        <w:rPr>
          <w:rFonts w:ascii="Times New Roman CYR" w:hAnsi="Times New Roman CYR" w:cs="Times New Roman CYR"/>
          <w:sz w:val="28"/>
          <w:szCs w:val="28"/>
        </w:rPr>
        <w:t>сохранение</w:t>
      </w:r>
      <w:r>
        <w:rPr>
          <w:rFonts w:cs="Calibri"/>
          <w:sz w:val="28"/>
          <w:szCs w:val="28"/>
        </w:rPr>
        <w:t xml:space="preserve"> </w:t>
      </w:r>
      <w:r>
        <w:rPr>
          <w:rFonts w:ascii="Times New Roman CYR" w:hAnsi="Times New Roman CYR" w:cs="Times New Roman CYR"/>
          <w:sz w:val="28"/>
          <w:szCs w:val="28"/>
        </w:rPr>
        <w:t>и</w:t>
      </w:r>
      <w:r>
        <w:rPr>
          <w:rFonts w:cs="Calibri"/>
          <w:sz w:val="28"/>
          <w:szCs w:val="28"/>
        </w:rPr>
        <w:t xml:space="preserve"> </w:t>
      </w:r>
      <w:r>
        <w:rPr>
          <w:rFonts w:ascii="Times New Roman CYR" w:hAnsi="Times New Roman CYR" w:cs="Times New Roman CYR"/>
          <w:sz w:val="28"/>
          <w:szCs w:val="28"/>
        </w:rPr>
        <w:t>развитие</w:t>
      </w:r>
      <w:r>
        <w:rPr>
          <w:rFonts w:cs="Calibri"/>
          <w:sz w:val="28"/>
          <w:szCs w:val="28"/>
        </w:rPr>
        <w:t xml:space="preserve"> </w:t>
      </w:r>
      <w:r>
        <w:rPr>
          <w:rFonts w:ascii="Times New Roman CYR" w:hAnsi="Times New Roman CYR" w:cs="Times New Roman CYR"/>
          <w:sz w:val="28"/>
          <w:szCs w:val="28"/>
        </w:rPr>
        <w:t>материально</w:t>
      </w:r>
      <w:r>
        <w:rPr>
          <w:rFonts w:cs="Calibri"/>
          <w:sz w:val="28"/>
          <w:szCs w:val="28"/>
        </w:rPr>
        <w:t>-</w:t>
      </w:r>
      <w:r>
        <w:rPr>
          <w:rFonts w:ascii="Times New Roman CYR" w:hAnsi="Times New Roman CYR" w:cs="Times New Roman CYR"/>
          <w:sz w:val="28"/>
          <w:szCs w:val="28"/>
        </w:rPr>
        <w:t>технической</w:t>
      </w:r>
      <w:r>
        <w:rPr>
          <w:rFonts w:cs="Calibri"/>
          <w:sz w:val="28"/>
          <w:szCs w:val="28"/>
        </w:rPr>
        <w:t xml:space="preserve"> </w:t>
      </w:r>
      <w:r>
        <w:rPr>
          <w:rFonts w:ascii="Times New Roman CYR" w:hAnsi="Times New Roman CYR" w:cs="Times New Roman CYR"/>
          <w:sz w:val="28"/>
          <w:szCs w:val="28"/>
        </w:rPr>
        <w:t>базы</w:t>
      </w:r>
      <w:r>
        <w:rPr>
          <w:rFonts w:cs="Calibri"/>
          <w:sz w:val="28"/>
          <w:szCs w:val="28"/>
        </w:rPr>
        <w:t xml:space="preserve"> </w:t>
      </w:r>
      <w:r>
        <w:rPr>
          <w:rFonts w:ascii="Times New Roman CYR" w:hAnsi="Times New Roman CYR" w:cs="Times New Roman CYR"/>
          <w:sz w:val="28"/>
          <w:szCs w:val="28"/>
        </w:rPr>
        <w:t>муниципальных</w:t>
      </w:r>
      <w:r>
        <w:rPr>
          <w:rFonts w:cs="Calibri"/>
          <w:sz w:val="28"/>
          <w:szCs w:val="28"/>
        </w:rPr>
        <w:t xml:space="preserve"> </w:t>
      </w:r>
      <w:r>
        <w:rPr>
          <w:rFonts w:ascii="Times New Roman CYR" w:hAnsi="Times New Roman CYR" w:cs="Times New Roman CYR"/>
          <w:sz w:val="28"/>
          <w:szCs w:val="28"/>
        </w:rPr>
        <w:t>загородных</w:t>
      </w:r>
      <w:r>
        <w:rPr>
          <w:rFonts w:cs="Calibri"/>
          <w:sz w:val="28"/>
          <w:szCs w:val="28"/>
        </w:rPr>
        <w:t xml:space="preserve"> </w:t>
      </w:r>
      <w:r>
        <w:rPr>
          <w:rFonts w:ascii="Times New Roman CYR" w:hAnsi="Times New Roman CYR" w:cs="Times New Roman CYR"/>
          <w:sz w:val="28"/>
          <w:szCs w:val="28"/>
        </w:rPr>
        <w:t>оздоровительных</w:t>
      </w:r>
      <w:r>
        <w:rPr>
          <w:rFonts w:cs="Calibri"/>
          <w:sz w:val="28"/>
          <w:szCs w:val="28"/>
        </w:rPr>
        <w:t xml:space="preserve"> </w:t>
      </w:r>
      <w:r>
        <w:rPr>
          <w:rFonts w:ascii="Times New Roman CYR" w:hAnsi="Times New Roman CYR" w:cs="Times New Roman CYR"/>
          <w:sz w:val="28"/>
          <w:szCs w:val="28"/>
        </w:rPr>
        <w:t>лагерей</w:t>
      </w:r>
      <w:r>
        <w:rPr>
          <w:rFonts w:cs="Calibri"/>
          <w:sz w:val="28"/>
          <w:szCs w:val="28"/>
        </w:rPr>
        <w:t xml:space="preserve">, </w:t>
      </w:r>
      <w:r>
        <w:rPr>
          <w:rFonts w:ascii="Times New Roman CYR" w:hAnsi="Times New Roman CYR" w:cs="Times New Roman CYR"/>
          <w:sz w:val="28"/>
          <w:szCs w:val="28"/>
        </w:rPr>
        <w:t>на</w:t>
      </w:r>
      <w:r>
        <w:rPr>
          <w:rFonts w:cs="Calibri"/>
          <w:sz w:val="28"/>
          <w:szCs w:val="28"/>
        </w:rPr>
        <w:t xml:space="preserve"> </w:t>
      </w:r>
      <w:r>
        <w:rPr>
          <w:rFonts w:ascii="Times New Roman CYR" w:hAnsi="Times New Roman CYR" w:cs="Times New Roman CYR"/>
          <w:sz w:val="28"/>
          <w:szCs w:val="28"/>
        </w:rPr>
        <w:t>приобретение</w:t>
      </w:r>
      <w:r>
        <w:rPr>
          <w:rFonts w:cs="Calibri"/>
          <w:sz w:val="28"/>
          <w:szCs w:val="28"/>
        </w:rPr>
        <w:t xml:space="preserve"> </w:t>
      </w:r>
      <w:r>
        <w:rPr>
          <w:rFonts w:ascii="Times New Roman CYR" w:hAnsi="Times New Roman CYR" w:cs="Times New Roman CYR"/>
          <w:sz w:val="28"/>
          <w:szCs w:val="28"/>
        </w:rPr>
        <w:t>и</w:t>
      </w:r>
      <w:r>
        <w:rPr>
          <w:rFonts w:cs="Calibri"/>
          <w:sz w:val="28"/>
          <w:szCs w:val="28"/>
        </w:rPr>
        <w:t xml:space="preserve"> </w:t>
      </w:r>
      <w:r>
        <w:rPr>
          <w:rFonts w:ascii="Times New Roman CYR" w:hAnsi="Times New Roman CYR" w:cs="Times New Roman CYR"/>
          <w:sz w:val="28"/>
          <w:szCs w:val="28"/>
        </w:rPr>
        <w:t>монтаж</w:t>
      </w:r>
      <w:r>
        <w:rPr>
          <w:rFonts w:cs="Calibri"/>
          <w:sz w:val="28"/>
          <w:szCs w:val="28"/>
        </w:rPr>
        <w:t xml:space="preserve"> </w:t>
      </w:r>
      <w:r>
        <w:rPr>
          <w:rFonts w:ascii="Times New Roman CYR" w:hAnsi="Times New Roman CYR" w:cs="Times New Roman CYR"/>
          <w:sz w:val="28"/>
          <w:szCs w:val="28"/>
        </w:rPr>
        <w:t>модульных</w:t>
      </w:r>
      <w:r>
        <w:rPr>
          <w:rFonts w:cs="Calibri"/>
          <w:sz w:val="28"/>
          <w:szCs w:val="28"/>
        </w:rPr>
        <w:t xml:space="preserve"> </w:t>
      </w:r>
      <w:r>
        <w:rPr>
          <w:rFonts w:ascii="Times New Roman CYR" w:hAnsi="Times New Roman CYR" w:cs="Times New Roman CYR"/>
          <w:sz w:val="28"/>
          <w:szCs w:val="28"/>
        </w:rPr>
        <w:t>зданий</w:t>
      </w:r>
      <w:r>
        <w:rPr>
          <w:rFonts w:cs="Calibri"/>
          <w:sz w:val="28"/>
          <w:szCs w:val="28"/>
        </w:rPr>
        <w:t xml:space="preserve"> </w:t>
      </w:r>
      <w:r>
        <w:rPr>
          <w:rFonts w:ascii="Times New Roman CYR" w:hAnsi="Times New Roman CYR" w:cs="Times New Roman CYR"/>
          <w:sz w:val="28"/>
          <w:szCs w:val="28"/>
        </w:rPr>
        <w:t>пищеблоков</w:t>
      </w:r>
      <w:r>
        <w:rPr>
          <w:rFonts w:cs="Calibri"/>
          <w:sz w:val="28"/>
          <w:szCs w:val="28"/>
        </w:rPr>
        <w:t xml:space="preserve"> </w:t>
      </w:r>
      <w:r>
        <w:rPr>
          <w:rFonts w:ascii="Times New Roman CYR" w:hAnsi="Times New Roman CYR" w:cs="Times New Roman CYR"/>
          <w:sz w:val="28"/>
          <w:szCs w:val="28"/>
        </w:rPr>
        <w:t>с</w:t>
      </w:r>
      <w:r>
        <w:rPr>
          <w:rFonts w:cs="Calibri"/>
          <w:sz w:val="28"/>
          <w:szCs w:val="28"/>
        </w:rPr>
        <w:t xml:space="preserve"> </w:t>
      </w:r>
      <w:r>
        <w:rPr>
          <w:rFonts w:ascii="Times New Roman CYR" w:hAnsi="Times New Roman CYR" w:cs="Times New Roman CYR"/>
          <w:sz w:val="28"/>
          <w:szCs w:val="28"/>
        </w:rPr>
        <w:t>обеденным</w:t>
      </w:r>
      <w:r>
        <w:rPr>
          <w:rFonts w:cs="Calibri"/>
          <w:sz w:val="28"/>
          <w:szCs w:val="28"/>
        </w:rPr>
        <w:t xml:space="preserve"> </w:t>
      </w:r>
      <w:r>
        <w:rPr>
          <w:rFonts w:ascii="Times New Roman CYR" w:hAnsi="Times New Roman CYR" w:cs="Times New Roman CYR"/>
          <w:sz w:val="28"/>
          <w:szCs w:val="28"/>
        </w:rPr>
        <w:t>залом</w:t>
      </w:r>
      <w:r>
        <w:rPr>
          <w:rFonts w:cs="Calibri"/>
          <w:sz w:val="28"/>
          <w:szCs w:val="28"/>
        </w:rPr>
        <w:t xml:space="preserve"> </w:t>
      </w:r>
      <w:r>
        <w:rPr>
          <w:rFonts w:ascii="Times New Roman CYR" w:hAnsi="Times New Roman CYR" w:cs="Times New Roman CYR"/>
          <w:sz w:val="28"/>
          <w:szCs w:val="28"/>
        </w:rPr>
        <w:t>в</w:t>
      </w:r>
      <w:r>
        <w:rPr>
          <w:rFonts w:cs="Calibri"/>
          <w:sz w:val="28"/>
          <w:szCs w:val="28"/>
        </w:rPr>
        <w:t xml:space="preserve"> </w:t>
      </w:r>
      <w:r>
        <w:rPr>
          <w:rFonts w:ascii="Times New Roman CYR" w:hAnsi="Times New Roman CYR" w:cs="Times New Roman CYR"/>
          <w:sz w:val="28"/>
          <w:szCs w:val="28"/>
        </w:rPr>
        <w:t>муниципальных</w:t>
      </w:r>
      <w:r>
        <w:rPr>
          <w:rFonts w:cs="Calibri"/>
          <w:sz w:val="28"/>
          <w:szCs w:val="28"/>
        </w:rPr>
        <w:t xml:space="preserve"> </w:t>
      </w:r>
      <w:r>
        <w:rPr>
          <w:rFonts w:ascii="Times New Roman CYR" w:hAnsi="Times New Roman CYR" w:cs="Times New Roman CYR"/>
          <w:sz w:val="28"/>
          <w:szCs w:val="28"/>
        </w:rPr>
        <w:t>загородных</w:t>
      </w:r>
      <w:r>
        <w:rPr>
          <w:rFonts w:cs="Calibri"/>
          <w:sz w:val="28"/>
          <w:szCs w:val="28"/>
        </w:rPr>
        <w:t xml:space="preserve"> </w:t>
      </w:r>
      <w:r>
        <w:rPr>
          <w:rFonts w:ascii="Times New Roman CYR" w:hAnsi="Times New Roman CYR" w:cs="Times New Roman CYR"/>
          <w:sz w:val="28"/>
          <w:szCs w:val="28"/>
        </w:rPr>
        <w:t>оздоровительных</w:t>
      </w:r>
      <w:r>
        <w:rPr>
          <w:rFonts w:cs="Calibri"/>
          <w:sz w:val="28"/>
          <w:szCs w:val="28"/>
        </w:rPr>
        <w:t xml:space="preserve"> </w:t>
      </w:r>
      <w:r>
        <w:rPr>
          <w:rFonts w:ascii="Times New Roman CYR" w:hAnsi="Times New Roman CYR" w:cs="Times New Roman CYR"/>
          <w:sz w:val="28"/>
          <w:szCs w:val="28"/>
        </w:rPr>
        <w:t>лагерях</w:t>
      </w:r>
      <w:r>
        <w:rPr>
          <w:rFonts w:cs="Calibri"/>
          <w:sz w:val="28"/>
          <w:szCs w:val="28"/>
        </w:rPr>
        <w:t xml:space="preserve"> </w:t>
      </w:r>
      <w:r>
        <w:rPr>
          <w:rFonts w:ascii="Times New Roman CYR" w:hAnsi="Times New Roman CYR" w:cs="Times New Roman CYR"/>
          <w:sz w:val="28"/>
          <w:szCs w:val="28"/>
        </w:rPr>
        <w:t>в</w:t>
      </w:r>
      <w:r>
        <w:rPr>
          <w:rFonts w:cs="Calibri"/>
          <w:sz w:val="28"/>
          <w:szCs w:val="28"/>
        </w:rPr>
        <w:t xml:space="preserve"> 2022 </w:t>
      </w:r>
      <w:r>
        <w:rPr>
          <w:rFonts w:ascii="Times New Roman CYR" w:hAnsi="Times New Roman CYR" w:cs="Times New Roman CYR"/>
          <w:sz w:val="28"/>
          <w:szCs w:val="28"/>
        </w:rPr>
        <w:t>году, в соответствии с постановлением Правительства Красноярского края от 07.04.2022 №269-п прил. №3</w:t>
      </w:r>
      <w:r>
        <w:rPr>
          <w:rFonts w:cs="Calibri"/>
          <w:sz w:val="28"/>
          <w:szCs w:val="28"/>
        </w:rPr>
        <w:t xml:space="preserve"> (</w:t>
      </w:r>
      <w:r>
        <w:rPr>
          <w:rFonts w:ascii="Times New Roman CYR" w:hAnsi="Times New Roman CYR" w:cs="Times New Roman CYR"/>
          <w:sz w:val="28"/>
          <w:szCs w:val="28"/>
        </w:rPr>
        <w:t>Дол</w:t>
      </w:r>
      <w:r>
        <w:rPr>
          <w:rFonts w:cs="Calibri"/>
          <w:sz w:val="28"/>
          <w:szCs w:val="28"/>
        </w:rPr>
        <w:t xml:space="preserve"> «</w:t>
      </w:r>
      <w:r>
        <w:rPr>
          <w:rFonts w:ascii="Times New Roman CYR" w:hAnsi="Times New Roman CYR" w:cs="Times New Roman CYR"/>
          <w:sz w:val="28"/>
          <w:szCs w:val="28"/>
        </w:rPr>
        <w:t>Соснячок</w:t>
      </w:r>
      <w:r>
        <w:rPr>
          <w:rFonts w:cs="Calibri"/>
          <w:sz w:val="28"/>
          <w:szCs w:val="28"/>
        </w:rPr>
        <w:t xml:space="preserve">» </w:t>
      </w:r>
      <w:r>
        <w:rPr>
          <w:rFonts w:ascii="Times New Roman CYR" w:hAnsi="Times New Roman CYR" w:cs="Times New Roman CYR"/>
          <w:sz w:val="28"/>
          <w:szCs w:val="28"/>
        </w:rPr>
        <w:t>всего</w:t>
      </w:r>
      <w:r>
        <w:rPr>
          <w:rFonts w:cs="Calibri"/>
          <w:sz w:val="28"/>
          <w:szCs w:val="28"/>
        </w:rPr>
        <w:t xml:space="preserve"> </w:t>
      </w:r>
      <w:r>
        <w:rPr>
          <w:rFonts w:ascii="Times New Roman CYR" w:hAnsi="Times New Roman CYR" w:cs="Times New Roman CYR"/>
          <w:sz w:val="28"/>
          <w:szCs w:val="28"/>
        </w:rPr>
        <w:t>–</w:t>
      </w:r>
      <w:r>
        <w:rPr>
          <w:rFonts w:cs="Calibri"/>
          <w:sz w:val="28"/>
          <w:szCs w:val="28"/>
        </w:rPr>
        <w:t xml:space="preserve"> </w:t>
      </w:r>
      <w:r w:rsidRPr="00D07EE8">
        <w:rPr>
          <w:rFonts w:ascii="Times New Roman" w:hAnsi="Times New Roman"/>
          <w:b/>
          <w:bCs/>
          <w:sz w:val="28"/>
          <w:szCs w:val="28"/>
        </w:rPr>
        <w:t>37166,7</w:t>
      </w:r>
      <w:r w:rsidRPr="00D07EE8">
        <w:rPr>
          <w:rFonts w:ascii="Times New Roman" w:hAnsi="Times New Roman"/>
          <w:sz w:val="28"/>
          <w:szCs w:val="28"/>
        </w:rPr>
        <w:t xml:space="preserve"> тыс. руб., в том числе: краевой бюджет – 33450 тыс. руб., местный</w:t>
      </w:r>
      <w:r>
        <w:rPr>
          <w:rFonts w:ascii="Times New Roman CYR" w:hAnsi="Times New Roman CYR" w:cs="Times New Roman CYR"/>
          <w:sz w:val="28"/>
          <w:szCs w:val="28"/>
        </w:rPr>
        <w:t xml:space="preserve"> бюджет – 3716,66 тыс. руб</w:t>
      </w:r>
      <w:r>
        <w:rPr>
          <w:rFonts w:ascii="Times New Roman CYR" w:hAnsi="Times New Roman CYR" w:cs="Times New Roman CYR"/>
          <w:color w:val="FF0000"/>
          <w:sz w:val="28"/>
          <w:szCs w:val="28"/>
        </w:rPr>
        <w:t xml:space="preserve">. </w:t>
      </w:r>
    </w:p>
    <w:p w:rsidR="00627E26" w:rsidRDefault="00627E26">
      <w:pPr>
        <w:autoSpaceDE w:val="0"/>
        <w:autoSpaceDN w:val="0"/>
        <w:adjustRightInd w:val="0"/>
        <w:spacing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6554,5</w:t>
      </w:r>
      <w:r>
        <w:rPr>
          <w:rFonts w:ascii="Times New Roman CYR" w:hAnsi="Times New Roman CYR" w:cs="Times New Roman CYR"/>
          <w:sz w:val="28"/>
          <w:szCs w:val="28"/>
        </w:rPr>
        <w:t xml:space="preserve"> тыс. рублей - на завершение работ, начатых в 2021 году по водопонижению грунтовых и поверхностных вод в п.Интикуль Новоселовского района Красноярского края.</w:t>
      </w:r>
    </w:p>
    <w:tbl>
      <w:tblPr>
        <w:tblW w:w="0" w:type="auto"/>
        <w:tblInd w:w="-1310" w:type="dxa"/>
        <w:tblLayout w:type="fixed"/>
        <w:tblLook w:val="0000"/>
      </w:tblPr>
      <w:tblGrid>
        <w:gridCol w:w="1844"/>
        <w:gridCol w:w="1134"/>
        <w:gridCol w:w="1134"/>
        <w:gridCol w:w="1275"/>
        <w:gridCol w:w="1276"/>
        <w:gridCol w:w="1276"/>
        <w:gridCol w:w="1134"/>
        <w:gridCol w:w="1276"/>
        <w:gridCol w:w="1275"/>
      </w:tblGrid>
      <w:tr w:rsidR="00627E26" w:rsidRPr="00D07EE8">
        <w:tblPrEx>
          <w:tblCellMar>
            <w:top w:w="0" w:type="dxa"/>
            <w:bottom w:w="0" w:type="dxa"/>
          </w:tblCellMar>
        </w:tblPrEx>
        <w:trPr>
          <w:trHeight w:val="840"/>
        </w:trPr>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2021 </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факт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2022 оценка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2023</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прогноз </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1 вариант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2023</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прогноз </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 вариант</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2024</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прогноз 1 вариант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2024</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прогноз 2 вариант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2025</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прогноз 1 вариант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2025</w:t>
            </w:r>
          </w:p>
          <w:p w:rsidR="00627E26" w:rsidRPr="00D07EE8" w:rsidRDefault="00627E26">
            <w:pPr>
              <w:autoSpaceDE w:val="0"/>
              <w:autoSpaceDN w:val="0"/>
              <w:adjustRightInd w:val="0"/>
              <w:spacing w:after="0" w:line="240" w:lineRule="auto"/>
              <w:jc w:val="center"/>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 xml:space="preserve">прогноз 2 вариант </w:t>
            </w:r>
          </w:p>
        </w:tc>
      </w:tr>
      <w:tr w:rsidR="00627E26" w:rsidRPr="00D07EE8">
        <w:tblPrEx>
          <w:tblCellMar>
            <w:top w:w="0" w:type="dxa"/>
            <w:bottom w:w="0" w:type="dxa"/>
          </w:tblCellMar>
        </w:tblPrEx>
        <w:trPr>
          <w:trHeight w:val="510"/>
        </w:trPr>
        <w:tc>
          <w:tcPr>
            <w:tcW w:w="1844" w:type="dxa"/>
            <w:tcBorders>
              <w:top w:val="nil"/>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rPr>
                <w:rFonts w:ascii="Times New Roman CYR" w:hAnsi="Times New Roman CYR" w:cs="Times New Roman CYR"/>
                <w:color w:val="000000"/>
                <w:sz w:val="20"/>
                <w:szCs w:val="20"/>
              </w:rPr>
            </w:pPr>
            <w:r w:rsidRPr="00D07EE8">
              <w:rPr>
                <w:rFonts w:ascii="Times New Roman CYR" w:hAnsi="Times New Roman CYR" w:cs="Times New Roman CYR"/>
                <w:color w:val="000000"/>
                <w:sz w:val="20"/>
                <w:szCs w:val="20"/>
              </w:rPr>
              <w:t xml:space="preserve">Объем инвестиций в основной капитал -всего, </w:t>
            </w:r>
            <w:r w:rsidRPr="00D07EE8">
              <w:rPr>
                <w:rFonts w:ascii="Times New Roman CYR" w:hAnsi="Times New Roman CYR" w:cs="Times New Roman CYR"/>
                <w:color w:val="000000"/>
                <w:sz w:val="20"/>
                <w:szCs w:val="20"/>
              </w:rPr>
              <w:lastRenderedPageBreak/>
              <w:t>тыс. рублей*</w:t>
            </w:r>
          </w:p>
        </w:tc>
        <w:tc>
          <w:tcPr>
            <w:tcW w:w="1134" w:type="dxa"/>
            <w:tcBorders>
              <w:top w:val="single" w:sz="4" w:space="0" w:color="auto"/>
              <w:left w:val="nil"/>
              <w:bottom w:val="single" w:sz="4" w:space="0" w:color="auto"/>
              <w:right w:val="single" w:sz="4" w:space="0" w:color="auto"/>
            </w:tcBorders>
          </w:tcPr>
          <w:p w:rsidR="00627E26" w:rsidRPr="00D07EE8" w:rsidRDefault="00627E26">
            <w:pPr>
              <w:autoSpaceDE w:val="0"/>
              <w:autoSpaceDN w:val="0"/>
              <w:adjustRightInd w:val="0"/>
              <w:spacing w:line="240" w:lineRule="auto"/>
              <w:ind w:left="52" w:right="-108" w:hanging="160"/>
              <w:rPr>
                <w:rFonts w:cs="Calibri"/>
              </w:rPr>
            </w:pPr>
            <w:r w:rsidRPr="00D07EE8">
              <w:rPr>
                <w:rFonts w:cs="Calibri"/>
              </w:rPr>
              <w:lastRenderedPageBreak/>
              <w:t>431306,00</w:t>
            </w:r>
          </w:p>
        </w:tc>
        <w:tc>
          <w:tcPr>
            <w:tcW w:w="1134" w:type="dxa"/>
            <w:tcBorders>
              <w:top w:val="nil"/>
              <w:left w:val="single" w:sz="4" w:space="0" w:color="auto"/>
              <w:bottom w:val="single" w:sz="4" w:space="0" w:color="auto"/>
              <w:right w:val="single" w:sz="4" w:space="0" w:color="auto"/>
            </w:tcBorders>
          </w:tcPr>
          <w:p w:rsidR="00627E26" w:rsidRPr="00D07EE8" w:rsidRDefault="00627E26">
            <w:pPr>
              <w:autoSpaceDE w:val="0"/>
              <w:autoSpaceDN w:val="0"/>
              <w:adjustRightInd w:val="0"/>
              <w:spacing w:line="240" w:lineRule="auto"/>
              <w:ind w:left="-108"/>
              <w:rPr>
                <w:rFonts w:cs="Calibri"/>
              </w:rPr>
            </w:pPr>
            <w:r w:rsidRPr="00D07EE8">
              <w:rPr>
                <w:rFonts w:cs="Calibri"/>
              </w:rPr>
              <w:t>440 3</w:t>
            </w:r>
            <w:r w:rsidR="00F01246">
              <w:rPr>
                <w:rFonts w:cs="Calibri"/>
              </w:rPr>
              <w:t>3</w:t>
            </w:r>
            <w:r w:rsidRPr="00D07EE8">
              <w:rPr>
                <w:rFonts w:cs="Calibri"/>
              </w:rPr>
              <w:t>0,00</w:t>
            </w:r>
          </w:p>
        </w:tc>
        <w:tc>
          <w:tcPr>
            <w:tcW w:w="1275"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596 293,50</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607 921,00</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605 321,00</w:t>
            </w:r>
          </w:p>
        </w:tc>
        <w:tc>
          <w:tcPr>
            <w:tcW w:w="1134" w:type="dxa"/>
            <w:tcBorders>
              <w:top w:val="nil"/>
              <w:left w:val="nil"/>
              <w:bottom w:val="single" w:sz="4" w:space="0" w:color="auto"/>
              <w:right w:val="single" w:sz="4" w:space="0" w:color="auto"/>
            </w:tcBorders>
          </w:tcPr>
          <w:p w:rsidR="00627E26" w:rsidRPr="00D07EE8" w:rsidRDefault="00627E26" w:rsidP="00D07EE8">
            <w:pPr>
              <w:autoSpaceDE w:val="0"/>
              <w:autoSpaceDN w:val="0"/>
              <w:adjustRightInd w:val="0"/>
              <w:spacing w:line="240" w:lineRule="auto"/>
              <w:ind w:left="-108"/>
              <w:rPr>
                <w:rFonts w:cs="Calibri"/>
              </w:rPr>
            </w:pPr>
            <w:r w:rsidRPr="00D07EE8">
              <w:rPr>
                <w:rFonts w:cs="Calibri"/>
              </w:rPr>
              <w:t>619374,20</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627 884,25</w:t>
            </w:r>
          </w:p>
        </w:tc>
        <w:tc>
          <w:tcPr>
            <w:tcW w:w="1275"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643 023,70</w:t>
            </w:r>
          </w:p>
        </w:tc>
      </w:tr>
      <w:tr w:rsidR="00627E26" w:rsidRPr="00D07EE8">
        <w:tblPrEx>
          <w:tblCellMar>
            <w:top w:w="0" w:type="dxa"/>
            <w:bottom w:w="0" w:type="dxa"/>
          </w:tblCellMar>
        </w:tblPrEx>
        <w:trPr>
          <w:trHeight w:val="300"/>
        </w:trPr>
        <w:tc>
          <w:tcPr>
            <w:tcW w:w="1844" w:type="dxa"/>
            <w:tcBorders>
              <w:top w:val="nil"/>
              <w:left w:val="single" w:sz="4" w:space="0" w:color="auto"/>
              <w:bottom w:val="single" w:sz="4" w:space="0" w:color="auto"/>
              <w:right w:val="single" w:sz="4" w:space="0" w:color="auto"/>
            </w:tcBorders>
            <w:vAlign w:val="center"/>
          </w:tcPr>
          <w:p w:rsidR="00627E26" w:rsidRPr="00D07EE8" w:rsidRDefault="00627E26">
            <w:pPr>
              <w:autoSpaceDE w:val="0"/>
              <w:autoSpaceDN w:val="0"/>
              <w:adjustRightInd w:val="0"/>
              <w:spacing w:after="0" w:line="240" w:lineRule="auto"/>
              <w:rPr>
                <w:rFonts w:ascii="Times New Roman CYR" w:hAnsi="Times New Roman CYR" w:cs="Times New Roman CYR"/>
                <w:color w:val="000000"/>
                <w:sz w:val="20"/>
                <w:szCs w:val="20"/>
              </w:rPr>
            </w:pPr>
            <w:r w:rsidRPr="00D07EE8">
              <w:rPr>
                <w:rFonts w:ascii="Times New Roman CYR" w:hAnsi="Times New Roman CYR" w:cs="Times New Roman CYR"/>
                <w:color w:val="000000"/>
                <w:sz w:val="20"/>
                <w:szCs w:val="20"/>
              </w:rPr>
              <w:lastRenderedPageBreak/>
              <w:t>Из них бюджетные средства</w:t>
            </w:r>
          </w:p>
        </w:tc>
        <w:tc>
          <w:tcPr>
            <w:tcW w:w="1134" w:type="dxa"/>
            <w:tcBorders>
              <w:top w:val="single" w:sz="4" w:space="0" w:color="auto"/>
              <w:left w:val="nil"/>
              <w:bottom w:val="single" w:sz="4" w:space="0" w:color="auto"/>
              <w:right w:val="single" w:sz="4" w:space="0" w:color="auto"/>
            </w:tcBorders>
          </w:tcPr>
          <w:p w:rsidR="00627E26" w:rsidRPr="00D07EE8" w:rsidRDefault="00627E26" w:rsidP="00D07EE8">
            <w:pPr>
              <w:autoSpaceDE w:val="0"/>
              <w:autoSpaceDN w:val="0"/>
              <w:adjustRightInd w:val="0"/>
              <w:spacing w:line="240" w:lineRule="auto"/>
              <w:ind w:left="-108"/>
              <w:rPr>
                <w:rFonts w:cs="Calibri"/>
              </w:rPr>
            </w:pPr>
            <w:r w:rsidRPr="00D07EE8">
              <w:rPr>
                <w:rFonts w:cs="Calibri"/>
              </w:rPr>
              <w:t>144599,00</w:t>
            </w:r>
          </w:p>
        </w:tc>
        <w:tc>
          <w:tcPr>
            <w:tcW w:w="1134" w:type="dxa"/>
            <w:tcBorders>
              <w:top w:val="nil"/>
              <w:left w:val="single" w:sz="4" w:space="0" w:color="auto"/>
              <w:bottom w:val="single" w:sz="4" w:space="0" w:color="auto"/>
              <w:right w:val="single" w:sz="4" w:space="0" w:color="auto"/>
            </w:tcBorders>
          </w:tcPr>
          <w:p w:rsidR="00627E26" w:rsidRPr="00D07EE8" w:rsidRDefault="00627E26" w:rsidP="00D07EE8">
            <w:pPr>
              <w:autoSpaceDE w:val="0"/>
              <w:autoSpaceDN w:val="0"/>
              <w:adjustRightInd w:val="0"/>
              <w:spacing w:line="240" w:lineRule="auto"/>
              <w:ind w:left="-108"/>
              <w:rPr>
                <w:rFonts w:cs="Calibri"/>
              </w:rPr>
            </w:pPr>
            <w:r w:rsidRPr="00D07EE8">
              <w:rPr>
                <w:rFonts w:cs="Calibri"/>
              </w:rPr>
              <w:t>134 612,00</w:t>
            </w:r>
          </w:p>
        </w:tc>
        <w:tc>
          <w:tcPr>
            <w:tcW w:w="1275"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125 059,00</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127 612,00</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131 312,00</w:t>
            </w:r>
          </w:p>
        </w:tc>
        <w:tc>
          <w:tcPr>
            <w:tcW w:w="1134" w:type="dxa"/>
            <w:tcBorders>
              <w:top w:val="nil"/>
              <w:left w:val="nil"/>
              <w:bottom w:val="single" w:sz="4" w:space="0" w:color="auto"/>
              <w:right w:val="single" w:sz="4" w:space="0" w:color="auto"/>
            </w:tcBorders>
          </w:tcPr>
          <w:p w:rsidR="00627E26" w:rsidRPr="00D07EE8" w:rsidRDefault="00627E26" w:rsidP="00D07EE8">
            <w:pPr>
              <w:autoSpaceDE w:val="0"/>
              <w:autoSpaceDN w:val="0"/>
              <w:adjustRightInd w:val="0"/>
              <w:spacing w:line="240" w:lineRule="auto"/>
              <w:ind w:left="-108"/>
              <w:rPr>
                <w:rFonts w:cs="Calibri"/>
              </w:rPr>
            </w:pPr>
            <w:r w:rsidRPr="00D07EE8">
              <w:rPr>
                <w:rFonts w:cs="Calibri"/>
              </w:rPr>
              <w:t>133 992,00</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136 564,48</w:t>
            </w:r>
          </w:p>
        </w:tc>
        <w:tc>
          <w:tcPr>
            <w:tcW w:w="1275"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139 351,68</w:t>
            </w:r>
          </w:p>
        </w:tc>
      </w:tr>
      <w:tr w:rsidR="00627E26" w:rsidRPr="00D07EE8">
        <w:tblPrEx>
          <w:tblCellMar>
            <w:top w:w="0" w:type="dxa"/>
            <w:bottom w:w="0" w:type="dxa"/>
          </w:tblCellMar>
        </w:tblPrEx>
        <w:trPr>
          <w:trHeight w:val="510"/>
        </w:trPr>
        <w:tc>
          <w:tcPr>
            <w:tcW w:w="1844" w:type="dxa"/>
            <w:tcBorders>
              <w:top w:val="nil"/>
              <w:left w:val="single" w:sz="4" w:space="0" w:color="auto"/>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rPr>
                <w:rFonts w:ascii="Times New Roman CYR" w:hAnsi="Times New Roman CYR" w:cs="Times New Roman CYR"/>
                <w:color w:val="000000"/>
                <w:sz w:val="20"/>
                <w:szCs w:val="20"/>
              </w:rPr>
            </w:pPr>
            <w:r w:rsidRPr="00D07EE8">
              <w:rPr>
                <w:rFonts w:ascii="Times New Roman CYR" w:hAnsi="Times New Roman CYR" w:cs="Times New Roman CYR"/>
                <w:color w:val="000000"/>
                <w:sz w:val="20"/>
                <w:szCs w:val="20"/>
              </w:rPr>
              <w:t>Объем инвестиций без бюджетных средств, тыс .рублей</w:t>
            </w:r>
          </w:p>
        </w:tc>
        <w:tc>
          <w:tcPr>
            <w:tcW w:w="1134" w:type="dxa"/>
            <w:tcBorders>
              <w:top w:val="single" w:sz="4" w:space="0" w:color="auto"/>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301 802</w:t>
            </w:r>
          </w:p>
        </w:tc>
        <w:tc>
          <w:tcPr>
            <w:tcW w:w="1134" w:type="dxa"/>
            <w:tcBorders>
              <w:top w:val="nil"/>
              <w:left w:val="single" w:sz="4" w:space="0" w:color="auto"/>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305 718</w:t>
            </w:r>
          </w:p>
        </w:tc>
        <w:tc>
          <w:tcPr>
            <w:tcW w:w="1275"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471 235</w:t>
            </w:r>
          </w:p>
        </w:tc>
        <w:tc>
          <w:tcPr>
            <w:tcW w:w="1276"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480 309</w:t>
            </w:r>
          </w:p>
        </w:tc>
        <w:tc>
          <w:tcPr>
            <w:tcW w:w="1276"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474 009</w:t>
            </w:r>
          </w:p>
        </w:tc>
        <w:tc>
          <w:tcPr>
            <w:tcW w:w="1134"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485 382</w:t>
            </w:r>
          </w:p>
        </w:tc>
        <w:tc>
          <w:tcPr>
            <w:tcW w:w="1276"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491 320</w:t>
            </w:r>
          </w:p>
        </w:tc>
        <w:tc>
          <w:tcPr>
            <w:tcW w:w="1275"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503 672</w:t>
            </w:r>
          </w:p>
        </w:tc>
      </w:tr>
      <w:tr w:rsidR="00627E26" w:rsidRPr="00D07EE8">
        <w:tblPrEx>
          <w:tblCellMar>
            <w:top w:w="0" w:type="dxa"/>
            <w:bottom w:w="0" w:type="dxa"/>
          </w:tblCellMar>
        </w:tblPrEx>
        <w:trPr>
          <w:trHeight w:val="300"/>
        </w:trPr>
        <w:tc>
          <w:tcPr>
            <w:tcW w:w="1844" w:type="dxa"/>
            <w:tcBorders>
              <w:top w:val="nil"/>
              <w:left w:val="single" w:sz="4" w:space="0" w:color="auto"/>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rPr>
                <w:rFonts w:ascii="Times New Roman CYR" w:hAnsi="Times New Roman CYR" w:cs="Times New Roman CYR"/>
                <w:color w:val="000000"/>
                <w:sz w:val="20"/>
                <w:szCs w:val="20"/>
              </w:rPr>
            </w:pPr>
            <w:r w:rsidRPr="00D07EE8">
              <w:rPr>
                <w:rFonts w:ascii="Times New Roman CYR" w:hAnsi="Times New Roman CYR" w:cs="Times New Roman CYR"/>
                <w:color w:val="000000"/>
                <w:sz w:val="20"/>
                <w:szCs w:val="20"/>
              </w:rPr>
              <w:t>Среднегодовая численность населения, чел.</w:t>
            </w:r>
          </w:p>
        </w:tc>
        <w:tc>
          <w:tcPr>
            <w:tcW w:w="1134" w:type="dxa"/>
            <w:tcBorders>
              <w:top w:val="single" w:sz="4" w:space="0" w:color="auto"/>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12 374</w:t>
            </w:r>
          </w:p>
        </w:tc>
        <w:tc>
          <w:tcPr>
            <w:tcW w:w="1134" w:type="dxa"/>
            <w:tcBorders>
              <w:top w:val="nil"/>
              <w:left w:val="single" w:sz="4" w:space="0" w:color="auto"/>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12 091</w:t>
            </w:r>
          </w:p>
        </w:tc>
        <w:tc>
          <w:tcPr>
            <w:tcW w:w="1275"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11 813</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11 816</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11 543</w:t>
            </w:r>
          </w:p>
        </w:tc>
        <w:tc>
          <w:tcPr>
            <w:tcW w:w="1134"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11 551</w:t>
            </w:r>
          </w:p>
        </w:tc>
        <w:tc>
          <w:tcPr>
            <w:tcW w:w="1276"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11 283</w:t>
            </w:r>
          </w:p>
        </w:tc>
        <w:tc>
          <w:tcPr>
            <w:tcW w:w="1275" w:type="dxa"/>
            <w:tcBorders>
              <w:top w:val="nil"/>
              <w:left w:val="nil"/>
              <w:bottom w:val="single" w:sz="4" w:space="0" w:color="auto"/>
              <w:right w:val="single" w:sz="4" w:space="0" w:color="auto"/>
            </w:tcBorders>
          </w:tcPr>
          <w:p w:rsidR="00627E26" w:rsidRPr="00D07EE8" w:rsidRDefault="00627E26">
            <w:pPr>
              <w:autoSpaceDE w:val="0"/>
              <w:autoSpaceDN w:val="0"/>
              <w:adjustRightInd w:val="0"/>
              <w:spacing w:line="240" w:lineRule="auto"/>
              <w:rPr>
                <w:rFonts w:cs="Calibri"/>
              </w:rPr>
            </w:pPr>
            <w:r w:rsidRPr="00D07EE8">
              <w:rPr>
                <w:rFonts w:cs="Calibri"/>
              </w:rPr>
              <w:t>11 296</w:t>
            </w:r>
          </w:p>
        </w:tc>
      </w:tr>
      <w:tr w:rsidR="00627E26" w:rsidRPr="00D07EE8">
        <w:tblPrEx>
          <w:tblCellMar>
            <w:top w:w="0" w:type="dxa"/>
            <w:bottom w:w="0" w:type="dxa"/>
          </w:tblCellMar>
        </w:tblPrEx>
        <w:trPr>
          <w:trHeight w:val="510"/>
        </w:trPr>
        <w:tc>
          <w:tcPr>
            <w:tcW w:w="1844" w:type="dxa"/>
            <w:tcBorders>
              <w:top w:val="nil"/>
              <w:left w:val="single" w:sz="4" w:space="0" w:color="auto"/>
              <w:bottom w:val="single" w:sz="4" w:space="0" w:color="auto"/>
              <w:right w:val="single" w:sz="4" w:space="0" w:color="auto"/>
            </w:tcBorders>
            <w:shd w:val="clear" w:color="000000" w:fill="FFFFFF"/>
            <w:vAlign w:val="center"/>
          </w:tcPr>
          <w:p w:rsidR="00627E26" w:rsidRPr="00D07EE8" w:rsidRDefault="00627E26">
            <w:pPr>
              <w:autoSpaceDE w:val="0"/>
              <w:autoSpaceDN w:val="0"/>
              <w:adjustRightInd w:val="0"/>
              <w:spacing w:after="0" w:line="240" w:lineRule="auto"/>
              <w:rPr>
                <w:rFonts w:ascii="Times New Roman CYR" w:hAnsi="Times New Roman CYR" w:cs="Times New Roman CYR"/>
                <w:b/>
                <w:bCs/>
                <w:color w:val="000000"/>
                <w:sz w:val="20"/>
                <w:szCs w:val="20"/>
              </w:rPr>
            </w:pPr>
            <w:r w:rsidRPr="00D07EE8">
              <w:rPr>
                <w:rFonts w:ascii="Times New Roman CYR" w:hAnsi="Times New Roman CYR" w:cs="Times New Roman CYR"/>
                <w:b/>
                <w:bCs/>
                <w:color w:val="000000"/>
                <w:sz w:val="20"/>
                <w:szCs w:val="20"/>
              </w:rPr>
              <w:t>Объем инвестиций (без бюджетных средств) на 1 жителя, рублей</w:t>
            </w:r>
          </w:p>
        </w:tc>
        <w:tc>
          <w:tcPr>
            <w:tcW w:w="1134" w:type="dxa"/>
            <w:tcBorders>
              <w:top w:val="single" w:sz="4" w:space="0" w:color="auto"/>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24 390,01</w:t>
            </w:r>
          </w:p>
        </w:tc>
        <w:tc>
          <w:tcPr>
            <w:tcW w:w="1134" w:type="dxa"/>
            <w:tcBorders>
              <w:top w:val="nil"/>
              <w:left w:val="single" w:sz="4" w:space="0" w:color="auto"/>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25 284,76</w:t>
            </w:r>
          </w:p>
        </w:tc>
        <w:tc>
          <w:tcPr>
            <w:tcW w:w="1275"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39 891,18</w:t>
            </w:r>
          </w:p>
        </w:tc>
        <w:tc>
          <w:tcPr>
            <w:tcW w:w="1276"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40 649,04</w:t>
            </w:r>
          </w:p>
        </w:tc>
        <w:tc>
          <w:tcPr>
            <w:tcW w:w="1276"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41 064,63</w:t>
            </w:r>
          </w:p>
        </w:tc>
        <w:tc>
          <w:tcPr>
            <w:tcW w:w="1134"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42 020,79</w:t>
            </w:r>
          </w:p>
        </w:tc>
        <w:tc>
          <w:tcPr>
            <w:tcW w:w="1276"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43 545,14</w:t>
            </w:r>
          </w:p>
        </w:tc>
        <w:tc>
          <w:tcPr>
            <w:tcW w:w="1275" w:type="dxa"/>
            <w:tcBorders>
              <w:top w:val="nil"/>
              <w:left w:val="nil"/>
              <w:bottom w:val="single" w:sz="4" w:space="0" w:color="auto"/>
              <w:right w:val="single" w:sz="4" w:space="0" w:color="auto"/>
            </w:tcBorders>
            <w:shd w:val="clear" w:color="000000" w:fill="FFFFFF"/>
          </w:tcPr>
          <w:p w:rsidR="00627E26" w:rsidRPr="00D07EE8" w:rsidRDefault="00627E26">
            <w:pPr>
              <w:autoSpaceDE w:val="0"/>
              <w:autoSpaceDN w:val="0"/>
              <w:adjustRightInd w:val="0"/>
              <w:spacing w:line="240" w:lineRule="auto"/>
              <w:rPr>
                <w:rFonts w:cs="Calibri"/>
              </w:rPr>
            </w:pPr>
            <w:r w:rsidRPr="00D07EE8">
              <w:rPr>
                <w:rFonts w:cs="Calibri"/>
              </w:rPr>
              <w:t>44 588,53</w:t>
            </w:r>
          </w:p>
        </w:tc>
      </w:tr>
    </w:tbl>
    <w:p w:rsidR="00D07EE8" w:rsidRDefault="00D07EE8">
      <w:pPr>
        <w:autoSpaceDE w:val="0"/>
        <w:autoSpaceDN w:val="0"/>
        <w:adjustRightInd w:val="0"/>
        <w:spacing w:after="0" w:line="240" w:lineRule="auto"/>
        <w:ind w:firstLine="567"/>
        <w:jc w:val="both"/>
        <w:rPr>
          <w:rFonts w:ascii="Times New Roman CYR" w:hAnsi="Times New Roman CYR" w:cs="Times New Roman CYR"/>
          <w:sz w:val="28"/>
          <w:szCs w:val="28"/>
        </w:rPr>
      </w:pPr>
    </w:p>
    <w:p w:rsidR="00627E26" w:rsidRDefault="00627E26">
      <w:pPr>
        <w:autoSpaceDE w:val="0"/>
        <w:autoSpaceDN w:val="0"/>
        <w:adjustRightInd w:val="0"/>
        <w:spacing w:after="0" w:line="240" w:lineRule="auto"/>
        <w:ind w:firstLine="567"/>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В 2021 году объем инвестиций в основной капитал (за исключением бюджетных средств) в расчете на 1 человека населения составил 24390,01 и увеличился к уровню прошлого года на 53,1%. В 2022 году значение показателя планируется в размере 25284,01 руб., в перспективе до 2025 года показатель запланирован с ростом (за счет отрасли «Сельское хозяйство)  и в 2025 году составит – 44588,53  рублей. </w:t>
      </w: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6. Транспорт и связь</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01.01.2022 года протяженность автомобильных дорог общего пользования всех форм собственности составила – 582,25 км., в том числе:</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- 66 км.  - а/д ФЗ;</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- 269,52 км.  - а/д регионального значения;</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- 246,729 км. - а/д местного значения (160,119 УДС + 86,93 подъезды), в том числе:</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- 98,5 – с твёрдым покрытием, из них 49,78 с усовершенствованным типом покрытия;</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- 148,24 км -  грунтовые.</w:t>
      </w:r>
    </w:p>
    <w:p w:rsidR="00627E26" w:rsidRDefault="00627E26">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"Протяженность автомобильных дорог общего пользования местного значения, не отвечающих нормативным требованиям" в 2021 году в связи с проведением визуализированной оценки дорожного полотна составила  152,3 км., что составляет – 61,7%, от протяженности автомобильных дорог местного значения.</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предприятиями, оказывающими платные транспортные  услуги в районе являются: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Новоселовский филиал АО «Краевое автотранспортное предприятие» - автомобильный транспорт;</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Новоселовский филиал АО "Балахтинское дорожное ремонтно-строительное управление" – водный транспорт.</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услуг транспорта всех видов, оказанных всем категориям пользователей по чистым видам деятельности (без субъектов малого предпринимательства и параметров неформальной деятельности)  составил 39829,3 тыс. руб., и увеличился к уровню прошлого года на 4,58 % (1743,3 тыс. руб.).</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населения, проживающего в населенных пунктах, имеющих регулярное автобусное  сообщение с административным центром в 2021 году составила 12360 чел., следовательно доля населения, имеющего регулярное автобусное сообщения с административным центром, в общей численности населения района составила в 2021 году 99,89 %. Три населенных пункта с численностью населения 15 человек не имеют транспортного сообщения. В перспективе значительного изменения данного показателя не планируется.</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Предприятие транспорта по перевозке пассажиров на территории района  - Новоселовский филиал АО «Краевое автотранспортное предприятие».  Количество автобусных маршрутов  сохранилось на уровне прошлого года и составил</w:t>
      </w:r>
      <w:r w:rsidR="000669F5">
        <w:rPr>
          <w:rFonts w:ascii="Times New Roman CYR" w:hAnsi="Times New Roman CYR" w:cs="Times New Roman CYR"/>
          <w:sz w:val="28"/>
          <w:szCs w:val="28"/>
        </w:rPr>
        <w:t>о</w:t>
      </w:r>
      <w:r>
        <w:rPr>
          <w:rFonts w:ascii="Times New Roman CYR" w:hAnsi="Times New Roman CYR" w:cs="Times New Roman CYR"/>
          <w:sz w:val="28"/>
          <w:szCs w:val="28"/>
        </w:rPr>
        <w:t xml:space="preserve"> 11ед.,  протяженность автобусных маршрутов – 724,5 км.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перевезенных (отправленных) пассажиров всеми видами транспорта в 2021 году составило – 159,9  тыс. чел., что ниже показателя прошлого года на 3,62 %, в том числе:</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автомобильным транспортом – 46,3 тыс. чел, что выше значения показателя за 2020год на 11 %.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водным транспортом 113,6  тыс. чел., что ниже  значения показателя прошлого года на 8,5 %.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Пассажирооборот автомобильного  транспорта за 2021 год  уменьшился к уровню прошлого года на 18,8 % и  составил – 2,03 млн. пасс-км.</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7. Малое и среднее предпринимательство</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01.01.2022 (по данным реестра ФНС РФ) в Новоселовском районе  зарегистрировано с учетом индивидуальных предпринимателей 294 субъектов малого и среднего предпринимательства: индивидуальных предпринимателей – 200, крестьянско-фермерских хозяйств – 66, малых предприятий – 28, из которых 20 (71%) относятся к сфере производства.</w:t>
      </w: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Число субъектов малого и среднего предпринимательства на 10000 человек населения в 2020 составляло 215,69 ед., а в 2021 году 240,37 ед. увеличение показателя связано с уменьшением численности населения. Оборот </w:t>
      </w:r>
      <w:r>
        <w:rPr>
          <w:rFonts w:ascii="Times New Roman CYR" w:hAnsi="Times New Roman CYR" w:cs="Times New Roman CYR"/>
          <w:sz w:val="28"/>
          <w:szCs w:val="28"/>
        </w:rPr>
        <w:lastRenderedPageBreak/>
        <w:t>розничной торговли в сфере малого предпринимательства за 2021 год  составил 1206,348 млн. руб., что составило 110,1% в сопоставимых ценах к соответствующему периоду прошлого года.</w:t>
      </w: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2020 году составила 24,62%, а в 2021 году 24,68%  показатель остался на уровне прошлого года. В перспективе до 2025 года планируется небольшой рост.</w:t>
      </w: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2021 году средняя зарплата работников малых предприятий составила 38581,77   рублей  в сравнении с 2020 годом  (27830,78 рублей)  произошло увеличение заработной платы на 38,6 %.</w:t>
      </w: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Среднесписочная численность работников малых предприятий в 2021 году составила 240 человек. В перспективе до 2025 года значение показателя планируется с небольшим увеличением.   </w:t>
      </w: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Выручка (нетто) от продажи товаров, продукции, работ, услуг организациями малого бизнеса (юридические лица)  в  2021 году  составила  1021,861 млн. руб.   В структуре (Выручка от продажи товаров, продукции, работ, услуг организациями малого бизнеса)  наибольший удельный вес (75,8%) приходится на отрасль «Сельское хозяйство».  Стабильному росту малого бизнеса способствуют инвестиционные вложения.</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В целях поддержки малого бизнеса разработана и утверждена  муниципальная  программа «Поддержка субъектов малого и среднего предпринимательства в Новоселовском районе»  с  финансированием из местного бюджета, и по итогам конкурсов с финансированием с краевого и федерального бюджетов.   В  рамках  Программы в 2021 году было реализовано следующее мероприятие:</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оказание поддержки в виде  субсидии субъектам малого и (или) среднего предпринимательства на возмещение затрат на уплату первого взноса (аванса) при заключении договоров лизинга оборудования с лизинговыми организациями в целях создания и (или) развития производства товаров (работ, услуг) (субсидию получил 1 субъект малого предпринимательства ип Дариенко А.И.), в размере  485640 (четыреста восемьдесят пять тысяч шестьсот сорок) руб. в том числе 440000 (четыреста сорок тысяч) руб. средства краевого бюджета, 45640 (сорок пять тысяч шестьсот сорок) руб. средства районного бюджета. Было создано одно рабочее место и сохранено одно рабочее место.</w:t>
      </w: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8. Результаты финансовой деятельности предприятий</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Расчетное значение налогооблагаемой базы для исчисления налога на прибыль в 2021 году составило – 23169,5 тыс. руб. </w:t>
      </w:r>
    </w:p>
    <w:p w:rsidR="00627E26" w:rsidRDefault="00627E26" w:rsidP="006E3F30">
      <w:pPr>
        <w:autoSpaceDE w:val="0"/>
        <w:autoSpaceDN w:val="0"/>
        <w:adjustRightInd w:val="0"/>
        <w:spacing w:after="0" w:line="240" w:lineRule="auto"/>
        <w:ind w:firstLine="708"/>
        <w:jc w:val="both"/>
        <w:rPr>
          <w:rFonts w:ascii="Times New Roman CYR" w:hAnsi="Times New Roman CYR" w:cs="Times New Roman CYR"/>
          <w:color w:val="000000"/>
          <w:sz w:val="12"/>
          <w:szCs w:val="12"/>
        </w:rPr>
      </w:pPr>
      <w:r>
        <w:rPr>
          <w:rFonts w:ascii="Times New Roman CYR" w:hAnsi="Times New Roman CYR" w:cs="Times New Roman CYR"/>
          <w:sz w:val="28"/>
          <w:szCs w:val="28"/>
        </w:rPr>
        <w:t xml:space="preserve"> Удельный вес прибыльных организаций от общего числа организаций в 2021 году составил – 100%.</w:t>
      </w: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9. Бюджет муниципального образования</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Доходы бюджета района в 2021 году составили  926,445 млн. руб., в 2022 году значение данного показателя планируется в размере 1082,790 млн. руб., в 2023 году – 851,181 млн. руб.,(снижение за счет уменьшения безвозмездных поступлений), 2024 – 847,468 млн. руб., 2025г. – 872,893 млн. руб., в том числе собственные доходы: 2021 год – 597,945 млн. руб., 2022 год – 746,045 млн. руб., 2023 году – 558,472 млн. руб., 2024 – 554,721 млн. руб., 2025г. -571,362 млн. руб.,</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Безвозмездные поступления, за исключением субвенций в 2021 году составили 499,968 млн. руб., в 2022 году планируется поступление в размере 652,808  млн. руб., в 2023 году – 459,930 млн. руб., 2024г. – 451,011 млн. руб., в 2025г. – 464,542 млн. руб. Средства выделяются краевым бюджетом:</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виде дотаций муниципальным образованиям;</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виде субсидий на реализацию государственных программ;</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 виде субвенций на осуществление государственных полномочий.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за исключением субвенций в 2021 году составила 16,39 %, в 2022 году ожидается 12,5%.</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района в 2021 году составили 911,364 млн. руб., в 2022 году  ожидается 1105,1 млн. руб., 2023 – 851,181 млн. руб., 2024 г. -  847,468 млн. руб., 2025г. – 872,892 млн. рублей.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Профицит  бюджета по району  в 2021 году составил 15,082 млн. рублей,  в 2022 году планируется дефицит в размере 22,285 млн. руб., на период 2023 – 2025гг. запланирован сбалансированный бюджет.</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10. Общественное питание</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Оборот  общественного  питания  по  району  в  2021 году увеличился  на 34,03 % к уровню 2020 года (22,9242 млн. руб.) и составил 30,7252 млн. руб. Количество объектов общественного питания в 2021 году составило 19 единиц, включая столовые учебных заведений, бары, кафе. </w:t>
      </w: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2020 г. количество объектов общественного питания осталось без изменения.</w:t>
      </w:r>
    </w:p>
    <w:p w:rsidR="00627E26" w:rsidRDefault="00627E26" w:rsidP="009E298B">
      <w:pPr>
        <w:widowControl w:val="0"/>
        <w:autoSpaceDE w:val="0"/>
        <w:autoSpaceDN w:val="0"/>
        <w:adjustRightInd w:val="0"/>
        <w:spacing w:after="0" w:line="240" w:lineRule="auto"/>
        <w:rPr>
          <w:rFonts w:ascii="MS Sans Serif" w:hAnsi="MS Sans Serif" w:cs="MS Sans Serif"/>
          <w:sz w:val="16"/>
          <w:szCs w:val="16"/>
        </w:rPr>
      </w:pPr>
    </w:p>
    <w:p w:rsidR="00627E26" w:rsidRDefault="00627E26" w:rsidP="009E298B">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11. Розничная торговля</w:t>
      </w:r>
    </w:p>
    <w:p w:rsidR="00627E26" w:rsidRDefault="00627E26" w:rsidP="009E298B">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rsidP="009E298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Федеральным законом №131-ФЗ органы местного самоуправления наделены полномочиями по созданию условий для обеспечения жителей района услугами торговли, общественного питания и бытового обслуживания. </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t>В сфере потребительского рынка района  в 2021 году функционировали:  94 магазинов, 35 торговых павильонов, 3 киоска, 6 аптек, 1 аптечный киоск, 19 объектов общественного питания (из них 13 столовых и 6 кафе),  38 объектов бытового обслуживания.</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Законом Красноярского края от 19.12.2013 № 5-1997 «О нормативах минимальной обеспеченности населения площадью торговых объектов для Красноярского края, муниципальных районов и городских округов края» установлены нормативы минимальной обеспеченности населения площадью торговых объектов для Красноярского края, муниципальных районов и городских округов края, действовавшие в 2017 году. В частности для Новоселовского района установлены следующие нормативы: </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суммарный норматив минимальной обеспеченности населения площадью торговых объектов – 362,99 кв. м на 1000 человек (фактически в районе – 651,35 кв. м на 1000 человек);</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норматив минимальной обеспеченности населения площадью торговых объектов по продаже продовольственных товаров – 110,78 кв. м на 1000 человек (фактически – 260,54 кв. м на 1000 человек);</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норматив минимальной обеспеченности населения площадью торговых объектов по продаже непродовольственных товаров – 252,21 кв. м на 1000 человек (фактически – 390,81 кв. м на 1000 человек). </w:t>
      </w:r>
    </w:p>
    <w:p w:rsidR="00627E26" w:rsidRDefault="00627E26" w:rsidP="009E298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Оборот  розничной  торговли  составил  в  2021 году 1206,348  млн. руб. и увеличился к уровню прошлого года на 10,1 %, к  2025 году  планируется  увеличение данного показателя на 41,2 %, что составит 1703,459 млн. руб. На территории района </w:t>
      </w:r>
      <w:r w:rsidR="00B43550">
        <w:rPr>
          <w:rFonts w:ascii="Times New Roman CYR" w:hAnsi="Times New Roman CYR" w:cs="Times New Roman CYR"/>
          <w:sz w:val="28"/>
          <w:szCs w:val="28"/>
        </w:rPr>
        <w:t xml:space="preserve">осуществляет деятельность </w:t>
      </w:r>
      <w:r>
        <w:rPr>
          <w:rFonts w:ascii="Times New Roman CYR" w:hAnsi="Times New Roman CYR" w:cs="Times New Roman CYR"/>
          <w:sz w:val="28"/>
          <w:szCs w:val="28"/>
        </w:rPr>
        <w:t xml:space="preserve">только  частная  торговля. </w:t>
      </w:r>
    </w:p>
    <w:p w:rsidR="009E298B" w:rsidRDefault="009E298B" w:rsidP="009E298B">
      <w:pPr>
        <w:autoSpaceDE w:val="0"/>
        <w:autoSpaceDN w:val="0"/>
        <w:adjustRightInd w:val="0"/>
        <w:spacing w:after="0" w:line="240" w:lineRule="auto"/>
        <w:jc w:val="both"/>
        <w:rPr>
          <w:rFonts w:ascii="Times New Roman CYR" w:hAnsi="Times New Roman CYR" w:cs="Times New Roman CYR"/>
          <w:sz w:val="28"/>
          <w:szCs w:val="28"/>
        </w:rPr>
      </w:pPr>
    </w:p>
    <w:p w:rsidR="00627E26" w:rsidRDefault="00627E26" w:rsidP="009E298B">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12. Платные услуги населению</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Объём  платных  услуг  населению  за  2021 год составил 168,393  млн. руб. и увеличился к уровню 2020  года на 6,1 % . Доля  каждого  вида  услуг по видам деятельности характеризуется  в  общем  объёме  следующими  данными:</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коммунальные услуги  - 42,67% (71,858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транспортные услуги – 22,08% (37,175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услуги связи – 12,05 % (20,285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жилищные услуги  – 7,97% (13,415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услуги системы образования – 5,39 % (9,084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медицинские услуги – 3,7 % (6,230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услуги – 2,09% (3,527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ветеринарные услуги  – 1,89% ( 3,178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прочие услуги – 0,64% (1,082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услуги гостиниц  – 0,58 % (0,981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услуги учреждений  культуры – 0,5 % (0,85 млн. руб.);</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бытовые услуги - 0,43% (0,727 млн. руб.). </w:t>
      </w:r>
    </w:p>
    <w:p w:rsidR="00627E26" w:rsidRDefault="00627E26">
      <w:pPr>
        <w:autoSpaceDE w:val="0"/>
        <w:autoSpaceDN w:val="0"/>
        <w:adjustRightInd w:val="0"/>
        <w:spacing w:after="0" w:line="240" w:lineRule="auto"/>
        <w:ind w:right="360" w:firstLine="540"/>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до 2025 года планируется увеличение объёма платных услуг населению на 27,91%, что составит 215,404  млн. рублей.</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13. Уровень жизни населения</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Среднедушевые денежные доходы населения в 2021 году за месяц составили – 20748,9 руб., что выше на 9,9% уровня  прошлого года. К 2025 году планируется увеличение среднедушевых денежных доходов на 41,26%, что составит 29309,2 рубля.</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Среднемесячная  заработная плата по району в 2021 году составила 37894,5  рублей и увеличилась по сравнению с 2020 годом  на 10,4 %, к 2025 году планируется повышение среднемесячной заработной платы по сравнению с 2021 годом на </w:t>
      </w:r>
      <w:r w:rsidR="00263C78">
        <w:rPr>
          <w:rFonts w:ascii="Times New Roman CYR" w:hAnsi="Times New Roman CYR" w:cs="Times New Roman CYR"/>
          <w:sz w:val="28"/>
          <w:szCs w:val="28"/>
        </w:rPr>
        <w:t>45,23</w:t>
      </w:r>
      <w:r>
        <w:rPr>
          <w:rFonts w:ascii="Times New Roman CYR" w:hAnsi="Times New Roman CYR" w:cs="Times New Roman CYR"/>
          <w:sz w:val="28"/>
          <w:szCs w:val="28"/>
        </w:rPr>
        <w:t xml:space="preserve">%, что составит </w:t>
      </w:r>
      <w:r w:rsidR="00263C78">
        <w:rPr>
          <w:rFonts w:ascii="Times New Roman CYR" w:hAnsi="Times New Roman CYR" w:cs="Times New Roman CYR"/>
          <w:sz w:val="28"/>
          <w:szCs w:val="28"/>
        </w:rPr>
        <w:t>55033,93</w:t>
      </w:r>
      <w:r>
        <w:rPr>
          <w:rFonts w:ascii="Times New Roman CYR" w:hAnsi="Times New Roman CYR" w:cs="Times New Roman CYR"/>
          <w:sz w:val="28"/>
          <w:szCs w:val="28"/>
        </w:rPr>
        <w:t xml:space="preserve"> руб.</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14. Рынок труда</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rsidP="00B43550">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Среднегодовая численность постоянного населения Новоселовского района в 2021 году составила – 12,374 тыс.чел.,  к 2025 году планируется снижение численности на 8,71 % (1078 чел.). </w:t>
      </w:r>
    </w:p>
    <w:p w:rsidR="00627E26" w:rsidRDefault="00627E26" w:rsidP="00B4355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экономике района в 2020 году было  занято 5,702  тыс.чел. – 91,19 % от численности трудоспособного населения в трудоспособном возрасте (6,253 тыс.чел.). </w:t>
      </w:r>
    </w:p>
    <w:p w:rsidR="00627E26" w:rsidRDefault="00627E26" w:rsidP="00B4355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Среднесписочная численность работников списочного состава организаций без внешних совместителей по полному кругу организаций в 2021 году составила 2,841 тыс.чел. </w:t>
      </w:r>
    </w:p>
    <w:p w:rsidR="00627E26" w:rsidRDefault="00627E26" w:rsidP="00B43550">
      <w:pPr>
        <w:autoSpaceDE w:val="0"/>
        <w:autoSpaceDN w:val="0"/>
        <w:adjustRightInd w:val="0"/>
        <w:spacing w:after="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 в 2021 году (по данным Красноярскстата) составила - 2,610 тыс.чел. и уменьшилась к уровню 2020 года на 1 человека. </w:t>
      </w: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15. Демографическая ситуация</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Численность постоянного населения на начало 2022 года составила 12231 человек и уменьшилась к уровню прошлого года на 287 человек. </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2021 год количество умерших составило - 296  человек. Данный показатель увеличился к уровню прошлого года на 18,4%( 46 человек). </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Количество родившихся за 2021  год составило – 124 человека. Данный показатель уменьшился к уровню прошлого года на 31  человек. </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Естественная  убыль  населения в 2021 году  составила 172 человека, что выше показателя прошлого года на 77 человек. </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естественного прироста на 1000 человек населения составил минус 13,9 чел. </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Миграционный прирост населения составил минус 115 человек и ухудшился  к уровню прошлого года на 84 человека. </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прогнозируемом периоде:</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естественная убыль населения прогнозируется в пределах не более 200 человек ежегодно и за период 2022 – 2025гг. запланирована в количестве 693 человека;</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миграционное снижение за  период 2022 - 2025 гг. планируется в количестве  - 368 человек. </w:t>
      </w: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16. Образование</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1 января 2022 года муниципальная система образования представлена  17 образовательными учреждениями, в том числе одно находится  в ведомственной принадлежности культуры и искусства.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общеобразовательных организаций всех форм собственности:</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- 9 средних общеобразовательных школ, в состав которых входят 11 филиалов:</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программу дополнительного  образования(Камчатский филиал МБОУ Бараитской СОШ № 8),</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программу начального и основного  общего образования(МБОУ Кульчекская ООШ №13),</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-филиал, реализующий программу начального образования (Черно-Комская НОШ филиал МБОУ Комской СОШ № 4)-приостановлен,</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девять филиалов реализуют программу дошкольного образования (группы полного дня),  также функционируют две дошкольные группы при общеобразовательных школах.</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- 6 дошкольных образовательных организаций всех форм собственности.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 учреждения дополнительного образование: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ДО «Новоселовский Центр творчества и туризма» (имеет филиал ДОЛ «Соснячок») в ведомственной принадлежности сферы образования;</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МБОУ ДО «Новоселовская детская школа искусств» в ведомственной принадлежности сферы культуры и искусства.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p>
    <w:p w:rsidR="006E3F30" w:rsidRDefault="006E3F30">
      <w:pPr>
        <w:autoSpaceDE w:val="0"/>
        <w:autoSpaceDN w:val="0"/>
        <w:adjustRightInd w:val="0"/>
        <w:spacing w:after="0" w:line="240" w:lineRule="auto"/>
        <w:jc w:val="both"/>
        <w:rPr>
          <w:rFonts w:ascii="Times New Roman CYR" w:hAnsi="Times New Roman CYR" w:cs="Times New Roman CYR"/>
          <w:sz w:val="28"/>
          <w:szCs w:val="28"/>
        </w:rPr>
      </w:pPr>
    </w:p>
    <w:p w:rsidR="006E3F30" w:rsidRDefault="006E3F30">
      <w:pPr>
        <w:autoSpaceDE w:val="0"/>
        <w:autoSpaceDN w:val="0"/>
        <w:adjustRightInd w:val="0"/>
        <w:spacing w:after="0" w:line="240" w:lineRule="auto"/>
        <w:jc w:val="both"/>
        <w:rPr>
          <w:rFonts w:ascii="Times New Roman CYR" w:hAnsi="Times New Roman CYR" w:cs="Times New Roman CYR"/>
          <w:sz w:val="28"/>
          <w:szCs w:val="28"/>
        </w:rPr>
      </w:pPr>
    </w:p>
    <w:p w:rsidR="006E3F30" w:rsidRDefault="006E3F30">
      <w:pPr>
        <w:autoSpaceDE w:val="0"/>
        <w:autoSpaceDN w:val="0"/>
        <w:adjustRightInd w:val="0"/>
        <w:spacing w:after="0" w:line="240" w:lineRule="auto"/>
        <w:jc w:val="both"/>
        <w:rPr>
          <w:rFonts w:ascii="Times New Roman CYR" w:hAnsi="Times New Roman CYR" w:cs="Times New Roman CYR"/>
          <w:sz w:val="28"/>
          <w:szCs w:val="28"/>
        </w:rPr>
      </w:pPr>
    </w:p>
    <w:p w:rsidR="00412E72" w:rsidRDefault="00627E26">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Профессиональное образование:</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Новоселовского района в с. Новоселово осуществляет деятельность</w:t>
      </w:r>
      <w:r>
        <w:rPr>
          <w:rFonts w:ascii="Arial CYR" w:hAnsi="Arial CYR" w:cs="Arial CYR"/>
          <w:color w:val="333333"/>
          <w:sz w:val="21"/>
          <w:szCs w:val="21"/>
          <w:highlight w:val="white"/>
        </w:rPr>
        <w:t xml:space="preserve"> </w:t>
      </w:r>
      <w:r>
        <w:rPr>
          <w:rFonts w:ascii="Times New Roman CYR" w:hAnsi="Times New Roman CYR" w:cs="Times New Roman CYR"/>
          <w:sz w:val="28"/>
          <w:szCs w:val="28"/>
        </w:rPr>
        <w:t>филиал КГБПОУ «Балахтинский аграрный техникум».</w:t>
      </w:r>
    </w:p>
    <w:p w:rsidR="00627E26" w:rsidRDefault="00627E26">
      <w:pPr>
        <w:autoSpaceDE w:val="0"/>
        <w:autoSpaceDN w:val="0"/>
        <w:adjustRightInd w:val="0"/>
        <w:spacing w:after="0" w:line="240" w:lineRule="auto"/>
        <w:jc w:val="both"/>
        <w:rPr>
          <w:rFonts w:ascii="Times New Roman CYR" w:hAnsi="Times New Roman CYR" w:cs="Times New Roman CYR"/>
          <w:b/>
          <w:bCs/>
          <w:sz w:val="28"/>
          <w:szCs w:val="28"/>
        </w:rPr>
      </w:pPr>
    </w:p>
    <w:p w:rsidR="00627E26" w:rsidRDefault="00627E26">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Дошкольное образование</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территории Новоселовского района на 01  января 2022 года действуют 6 муниципальных дошкольных образовательных организаций. Кроме дошкольных образовательных учреждений, программы дошкольного образования реализуют  8 общеобразовательных учреждений в рамках филиалов и  групп полного дня: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- 17 групп полного дня, реализуют программу основного дошкольного образования на базе общеобразовательных учреждений и в филиалах общеобразовательных учреждений  (МБОУ Бараитская СОШ № 8; МБОУ Дивненская СОШ № 2; Николаевский филиал МБОУ Светлолобовской СОШ № 6; Чернокомский детский сад МБОУ Комской СОШ №4; Чулымский детский сад филиал МБОУ Игрышенской СОШ №3; Увалинский детский сад филиал МБОУ Легостаевской СОШ №11 Кульчекский детский сад филиал Комской СОШ №4; Анашенский детский сад  филиал Анашенской СОШ №1; Легостаевский детский сад филиал Легостаевской СОШ №11),Толстомысенский детский сад филиал Толстомысенской СОШ, Аешинский детский сад филиал Толстомысенской СОШ);</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Все учреждения дошкольного образования, оказывающие услуги по содержанию детей и дошкольному образованию, финансируются из муниципального и краевого бюджетов.</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Общее количество мест в учреждениях, реализующих программы дошкольного образования, по состоянию на 01.01.2022 года  составляет – 1006 ед., за минусом  51 места в дошкольных группах  полного дня при общеобразовательных  организациях ( МБОУ  Бараитской СОШ № 8, МБОУ Дивненской СОШ №2) – 955 мест.</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по возрастам составила: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численность детей в возрасте от 3 до 7 лет (с учетом детей 7 лет), получающих дошкольную образовательную услугу в 2021 году составила 528 детей, показатель уменьшился  по отношению к 2020 году на 44 ребенка. В перспективе до 2024 года планируется снижение данного показателя, за счет снижения общей численности детей данной возрастной категории;</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детей в возрасте от 1 до 6 лет, получающих дошкольную образовательную услугу  в 2021 году,  составляет – 622 ребенка,  снижение показателя произошло за счет уменьшения количества детей данного возраста по сравнению с 2020 годом на 59 детей.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 «Численность детей от 1 до 6 лет, состоящих на учете для определения в дошкольные образовательные учреждения муниципальной формы собственности, на конец периода» в 2021 году составила -  0 человек, в перспективе до 2024 года запланировано отсутствие очереди.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детей в расчете на 100 мест в дошкольных образовательных организациях снизилась по сравнению с 2020 годом на 1,918 %, что составило 59 детей.</w:t>
      </w:r>
    </w:p>
    <w:p w:rsidR="006E3F30" w:rsidRDefault="006E3F30">
      <w:pPr>
        <w:autoSpaceDE w:val="0"/>
        <w:autoSpaceDN w:val="0"/>
        <w:adjustRightInd w:val="0"/>
        <w:spacing w:after="0" w:line="240" w:lineRule="auto"/>
        <w:ind w:firstLine="708"/>
        <w:jc w:val="both"/>
        <w:rPr>
          <w:rFonts w:ascii="Times New Roman CYR" w:hAnsi="Times New Roman CYR" w:cs="Times New Roman CYR"/>
          <w:sz w:val="28"/>
          <w:szCs w:val="28"/>
        </w:rPr>
      </w:pPr>
    </w:p>
    <w:p w:rsidR="00627E26" w:rsidRDefault="00627E26">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Общее образование</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сеть общеобразовательных учреждений представлена 9  организациями (МБОУ Анашенская СОШ № 1, МБОУ Бараитская СОШ № 8, МБОУ Дивненская СОШ № 2, МБОУ Игрышенская СОШ № 3, МБОУ Легостаевская СОШ № 11, МБОУ Комская СОШ № 4, МБОУ Новосёловская СОШ № 5, МБОУ Светлолобовская СОШ № 6, МБОУ Толстомысенская СОШ № 7).</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итогу 2021 года  в состав 8 юридических лиц входит одиннадцать филиалов:</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программу дополнительного образования (Камчатский филиал МБОУ Бараитской СОШ № 8);</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филиал, реализующий  программу начального образования (Черно-Комская НОШ филиал МБОУ Комской СОШ № 4)-приостановлен,</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филиал реализует начальное и основное  общее образование (Кульчекская ООШ №13),</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девять  филиалов реализуют про</w:t>
      </w:r>
      <w:r w:rsidR="00412E72">
        <w:rPr>
          <w:rFonts w:ascii="Times New Roman CYR" w:hAnsi="Times New Roman CYR" w:cs="Times New Roman CYR"/>
          <w:sz w:val="28"/>
          <w:szCs w:val="28"/>
        </w:rPr>
        <w:t xml:space="preserve">грамму дошкольного образования - </w:t>
      </w:r>
      <w:r>
        <w:rPr>
          <w:rFonts w:ascii="Times New Roman CYR" w:hAnsi="Times New Roman CYR" w:cs="Times New Roman CYR"/>
          <w:sz w:val="28"/>
          <w:szCs w:val="28"/>
        </w:rPr>
        <w:t>группы полного дня:</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412E72">
        <w:rPr>
          <w:rFonts w:ascii="Times New Roman CYR" w:hAnsi="Times New Roman CYR" w:cs="Times New Roman CYR"/>
          <w:sz w:val="28"/>
          <w:szCs w:val="28"/>
        </w:rPr>
        <w:tab/>
        <w:t xml:space="preserve">- </w:t>
      </w:r>
      <w:r>
        <w:rPr>
          <w:rFonts w:ascii="Times New Roman CYR" w:hAnsi="Times New Roman CYR" w:cs="Times New Roman CYR"/>
          <w:sz w:val="28"/>
          <w:szCs w:val="28"/>
        </w:rPr>
        <w:t>Николаевский фили</w:t>
      </w:r>
      <w:r w:rsidR="006E3F30">
        <w:rPr>
          <w:rFonts w:ascii="Times New Roman CYR" w:hAnsi="Times New Roman CYR" w:cs="Times New Roman CYR"/>
          <w:sz w:val="28"/>
          <w:szCs w:val="28"/>
        </w:rPr>
        <w:t>ал МБОУ Светлолобовская СОШ № 6;</w:t>
      </w:r>
      <w:r>
        <w:rPr>
          <w:rFonts w:ascii="Times New Roman CYR" w:hAnsi="Times New Roman CYR" w:cs="Times New Roman CYR"/>
          <w:sz w:val="28"/>
          <w:szCs w:val="28"/>
        </w:rPr>
        <w:t xml:space="preserve"> </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Черно-Комский детский с</w:t>
      </w:r>
      <w:r w:rsidR="006E3F30">
        <w:rPr>
          <w:rFonts w:ascii="Times New Roman CYR" w:hAnsi="Times New Roman CYR" w:cs="Times New Roman CYR"/>
          <w:sz w:val="28"/>
          <w:szCs w:val="28"/>
        </w:rPr>
        <w:t>ад филиал МБОУ Комской СОШ № 4;</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Чулымский детский сад</w:t>
      </w:r>
      <w:r w:rsidR="006E3F30">
        <w:rPr>
          <w:rFonts w:ascii="Times New Roman CYR" w:hAnsi="Times New Roman CYR" w:cs="Times New Roman CYR"/>
          <w:sz w:val="28"/>
          <w:szCs w:val="28"/>
        </w:rPr>
        <w:t xml:space="preserve"> филиал МБОУ Игрышенской СОШ №3;</w:t>
      </w:r>
      <w:r w:rsidR="00627E26">
        <w:rPr>
          <w:rFonts w:ascii="Times New Roman CYR" w:hAnsi="Times New Roman CYR" w:cs="Times New Roman CYR"/>
          <w:sz w:val="28"/>
          <w:szCs w:val="28"/>
        </w:rPr>
        <w:t xml:space="preserve"> </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Увалинский детский сад филиал</w:t>
      </w:r>
      <w:r w:rsidR="006E3F30">
        <w:rPr>
          <w:rFonts w:ascii="Times New Roman CYR" w:hAnsi="Times New Roman CYR" w:cs="Times New Roman CYR"/>
          <w:sz w:val="28"/>
          <w:szCs w:val="28"/>
        </w:rPr>
        <w:t xml:space="preserve"> МБОУ Легостаевской СОШ №11;</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Легостаевский детский сад фи</w:t>
      </w:r>
      <w:r w:rsidR="006E3F30">
        <w:rPr>
          <w:rFonts w:ascii="Times New Roman CYR" w:hAnsi="Times New Roman CYR" w:cs="Times New Roman CYR"/>
          <w:sz w:val="28"/>
          <w:szCs w:val="28"/>
        </w:rPr>
        <w:t>лиал МБОУ Легостаевской СОШ №11;</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Кульчекский детский</w:t>
      </w:r>
      <w:r w:rsidR="006E3F30">
        <w:rPr>
          <w:rFonts w:ascii="Times New Roman CYR" w:hAnsi="Times New Roman CYR" w:cs="Times New Roman CYR"/>
          <w:sz w:val="28"/>
          <w:szCs w:val="28"/>
        </w:rPr>
        <w:t xml:space="preserve"> сад филиал МБОУ Комской СОШ№4;</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Анашенский детский сад филиал МБОУ Анашенской СОШ №1;</w:t>
      </w:r>
    </w:p>
    <w:p w:rsidR="00627E26" w:rsidRDefault="00412E72"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 xml:space="preserve">Толстомысенский детский сад филиал МБОУ Толстомысенская </w:t>
      </w:r>
      <w:r w:rsidR="006E3F30">
        <w:rPr>
          <w:rFonts w:ascii="Times New Roman CYR" w:hAnsi="Times New Roman CYR" w:cs="Times New Roman CYR"/>
          <w:sz w:val="28"/>
          <w:szCs w:val="28"/>
        </w:rPr>
        <w:t>СОШ №7 ;</w:t>
      </w:r>
    </w:p>
    <w:p w:rsidR="00627E26" w:rsidRDefault="00412E72" w:rsidP="00412E7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627E26">
        <w:rPr>
          <w:rFonts w:ascii="Times New Roman CYR" w:hAnsi="Times New Roman CYR" w:cs="Times New Roman CYR"/>
          <w:sz w:val="28"/>
          <w:szCs w:val="28"/>
        </w:rPr>
        <w:t>Аешинский детский сад филиал МБОУ Толстомысенская СОШ №7.</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муниципального бюджета все образовательные  учреждения подготовлены к началу  2021-2022 учебного года.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Хозяйственной группой организованы ремонтные работы по созданию в  ОУ безопасных и комфортных условий для обучения детей.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Pr>
          <w:rFonts w:ascii="Times New Roman CYR" w:hAnsi="Times New Roman CYR" w:cs="Times New Roman CYR"/>
          <w:sz w:val="28"/>
          <w:szCs w:val="28"/>
        </w:rPr>
        <w:tab/>
        <w:t xml:space="preserve"> Образовательные учреждения, находящиеся в населенных пунктах, где нет сотовой связи, оснащены аппаратурой, которая работает через спутниковый терминал. Развивая школьную инфраструктуру, планомерно решаются имеющиеся проблемы, тем самым повышается  степень комфорта и безопасности в образовательных учреждениях.</w:t>
      </w:r>
    </w:p>
    <w:p w:rsidR="00627E26" w:rsidRDefault="00627E26" w:rsidP="00412E72">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конкурсной основе в 2021 г. привлечены средства краевого бюджета в размере 15 млн. рублей и 315 тыс. рублей -  софинансирование за счет средств районного бюджета, на которые:</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приведен в соответствие санитарным нормам пищеблок в Светлолобовской СОШ №6;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проведены ремонты кабинетов, приобретено ученическое оборудование  для функционирования центров образования "Точка Роста", в МБОУ Анашенской СОШ №1,МБОУ Легостаевской СОШ №11, Новоселовской СОШ №5;</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видеонаблюдение в МБОУ Игрышенской СОШ №3, МБОУ Толстомысенской СОШ №7;</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-сделан капитальный ремонт части крыши в МБОУ Дивненской СОШ №2;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-проведен ремонт освещения территории в ДОЛ "Соснячок";</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-проведен капитальный ремонт здания МБДОУ Комского детского сада «Дельфиненок» №9;</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Кроме того, за счет муниципального бюджета были решены серьезные проблемы, связанные с функционированием образовательных учреждений: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ремонт освещения, отмостки МБОУ Дивненской школы №2;</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 ремонт водосточной системы кровли, установлено видеонаблюдение, ограждение в МБОУ Игрышенской СОШ №3;</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приобретены и установлены МАФы на территории Чулымского детского сада филиала МБОУ Игрышенской СОШ №3;</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изготовление и монтаж ограждения, установка и монтаж видеонаблюдения в МБОУ Бараитской СОШ №8;</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 ремонт теплотрассы, уличного освещения, прачечной в Толстомысенском детском саду филиале МБОУ Толстомысенской СОШ №7;</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 капитальный ремонт санузлов, ремонт помещений, электропроводки, замена дверных блоков, ремонт водосточной системы кровли  в МБОУ  Легостаевской СОШ №11;</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-сделан ремонт пожарных выходов, отмостки, потолков, помещений, освещения на территории, спилены тополя в МБОУ Новоселовской СОШ №5;</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-сделан ремонт освещения на территории в МБОУ Комской СОШ №4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-ремонт колодцев на территории в МБОУ  Светлолобовской СОШ №6;</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-капитальный ремонт системы электоснабжения, ремонт санузлов, ограждения в МБОУ Анашенской СОШ №1;</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-сделан ремонт отмостки (после стихийных бедствий), заменены стеклопакеты в МБДОУ Светлолобовском детском саду "Сказка";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-приобретены и установлены  МАФы, проведен ремонт пищеблока, уличного освещения, в МБДОУ Новоселовском детском саду " Малышок";</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-отремонтированы группы в МБДОУ Комском детском саду «Дельфиненок»  №9;</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проведен капитальный ремонт теплотрассы, приобретены и установлены МАФы в МБДОУ Новоселовском детском саду "Росинка".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образовательных учреждениях за счет средств местного бюджета изготовлены ПСД на ремонты зданий, пищеблоков, проведена экспертиза данных документов, приобретены насосы в котельные. Всего из муниципального бюджета пошло на эти цели 12 млн.  руб.</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прогнозом за счет  средств федерального  бюджета будут проведены капитальные ремонты в рамках государственной программы «Модернизация школьных систем образования»:</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- 2022 год -  МБОУ Светлолобовская СОШ №6 -28 млн. рублей;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- 2023 год - МБОУ  Толстомысенская СОШ №7 - 25 млн. рублей;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- 2024 год - МБОУ  Новоселовская СОШ№5 (корпус 1)</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- 2025 год – МБОУ Новоселовская СОШ №5 (корпус2) - 160 млн. 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 счет средств краевого бюджета и софинансирования из местного бюджета в 2022 году планируется освоить - 38 млн. рублей за счет краевого бюджета, 4 млн. рублей - софинансирование за счет средств местного бюджета: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учебного оборудования в центры образования  "Точка Роста" в МБОУ Светлолобовская СОШ №6 и МБОУ Игрышенская СОШ №3 школы,</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капитальный ремонт пищеблока в МБОУ  Комская СОШ №4,</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оснащение кабинетов учебным оборудованием и мебелью, монтаж уличного освещения в МБОУ Светлолобовская СОШ №6;</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приобретение и монтаж модульного здания пищеблока в ДОЛ "Соснячок".</w:t>
      </w:r>
    </w:p>
    <w:p w:rsidR="00627E26" w:rsidRDefault="00627E26">
      <w:pPr>
        <w:autoSpaceDE w:val="0"/>
        <w:autoSpaceDN w:val="0"/>
        <w:adjustRightInd w:val="0"/>
        <w:spacing w:line="240" w:lineRule="auto"/>
        <w:ind w:firstLine="709"/>
        <w:rPr>
          <w:rFonts w:cs="Calibri"/>
        </w:rPr>
      </w:pPr>
      <w:r>
        <w:rPr>
          <w:rFonts w:ascii="Times New Roman CYR" w:hAnsi="Times New Roman CYR" w:cs="Times New Roman CYR"/>
          <w:sz w:val="28"/>
          <w:szCs w:val="28"/>
        </w:rPr>
        <w:t>В 2023 году на оснащение (учебное оборудование и мебель) для МБОУ Толстомысенская СОШ №7  выделена сумма 6 313,4 млн. рублей в т. ч. из средств федерального бюджета 4 437,7 тыс. рублей, краевого бюджета 1 812,6 тыс.</w:t>
      </w:r>
      <w:r w:rsidR="00412E72">
        <w:rPr>
          <w:rFonts w:ascii="Times New Roman CYR" w:hAnsi="Times New Roman CYR" w:cs="Times New Roman CYR"/>
          <w:sz w:val="28"/>
          <w:szCs w:val="28"/>
        </w:rPr>
        <w:t xml:space="preserve"> </w:t>
      </w:r>
      <w:r>
        <w:rPr>
          <w:rFonts w:ascii="Times New Roman CYR" w:hAnsi="Times New Roman CYR" w:cs="Times New Roman CYR"/>
          <w:sz w:val="28"/>
          <w:szCs w:val="28"/>
        </w:rPr>
        <w:t>рублей, местного бюджета 63,1 тыс.</w:t>
      </w:r>
      <w:r w:rsidR="00412E72">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средств местного бюджета  выделено 3 млн. рублей на  ремонты помещений, кабинетов, ремонт электроосвещения, пищеблока, спортзала, установку забора, ремонт теплотрассы в школах и детских садах Новоселовского района.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Приобретено строительных материалов для текущего ремонта зданий в школах и детских садах на сумму 3 млн. рублей.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Зданий, находящихся в аварийном состоянии на сегодняшний день нет, два общеобразовательных учреждения требую капитального ремонта.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Pr>
          <w:rFonts w:ascii="Times New Roman CYR" w:hAnsi="Times New Roman CYR" w:cs="Times New Roman CYR"/>
          <w:sz w:val="28"/>
          <w:szCs w:val="28"/>
        </w:rPr>
        <w:tab/>
        <w:t xml:space="preserve"> Численность учащихся в общеобразовательных организациях в 2021 году составила 1595 человек, снижение показателя по сравнению с 2020 г на 30 учащихся.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Среднегодовая численность учащихся в общеобразовательных организациях (МБОУ Новоселовская СОШ №5), занимающихся во вторую смену незначительно увеличилась и составила: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- 2020 г. - 158 человек:</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- 2021 г. - 171 человек.</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«Численность учащихся, приходящихся на одного учителя, работающего в дневных общеобразовательных организациях муниципальной формы собственности, на начало учебного года» 2021-2022 г.г. составляет стабильно 8 человек.</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Для сдачи ЕГЭ в 2021 году в Новоселовском районе было зарегистрировано 52 выпускника текущего года.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51 выпускник дневных общеобразовательных организаций района получил аттестат о среднем (полном) образовании -98 %.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Численность учителей общеобразовательных организаций в 2021 году уменьшилась по сравнению с 2020 годом с 192  до 190 педагогов.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p>
    <w:p w:rsidR="00627E26" w:rsidRDefault="00627E26">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Дополнительное образование</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охват детей дополнительным образованием составил 71,4%. Данный охват детей достигнут за счет  внедрения на территории района целевой модели развития системы дополнительного образования детей, реализуемой в рамках федерального проекта «Успех каждого ребенка» национального проекта «Образование».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Программы дополнительного образования детей реализуются в двух учреждениях дополнительного образования - МБОУ ДО «Новосёловский Центр творчества и туризма» и МБУ ДО «Новоселовская детская школа искусств» и 9 общеобразовательных учреждениях района.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общеобразовательных учреждениях района реализуется                           95 программ дополнительного образования различной направленности. По отчету 1-ДОП дополнительным образованием в общеобразовательных учреждениях района охвачены 2474 ребенка.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МБОУ ДО «Новосёловский Центр творчества и туризма» реализует            19 программ по 5 направлениям: техническое, художественное, естественнонаучное, туристско-краеведческое, социально-педагогическое.              В МБУ ДО «Новоселовская детская школа искусств» реализуется                           3 программы дополнительного образования художественной направленности.</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отчету 1 - ДО в МБОУ ДО «Новосёловский Центр творчества и туризма» дополнительным образованием охвачены 248 детей, в МБУ ДО </w:t>
      </w:r>
      <w:r>
        <w:rPr>
          <w:rFonts w:ascii="Times New Roman CYR" w:hAnsi="Times New Roman CYR" w:cs="Times New Roman CYR"/>
          <w:sz w:val="28"/>
          <w:szCs w:val="28"/>
        </w:rPr>
        <w:lastRenderedPageBreak/>
        <w:t xml:space="preserve">«Новоселовская детская школа искусств» охвачено дополнительным образованием 153 ребенка. </w:t>
      </w:r>
    </w:p>
    <w:p w:rsidR="00412E72" w:rsidRDefault="00412E72">
      <w:pPr>
        <w:autoSpaceDE w:val="0"/>
        <w:autoSpaceDN w:val="0"/>
        <w:adjustRightInd w:val="0"/>
        <w:spacing w:after="0" w:line="240" w:lineRule="auto"/>
        <w:ind w:firstLine="708"/>
        <w:jc w:val="both"/>
        <w:rPr>
          <w:rFonts w:ascii="Times New Roman CYR" w:hAnsi="Times New Roman CYR" w:cs="Times New Roman CYR"/>
          <w:sz w:val="28"/>
          <w:szCs w:val="28"/>
        </w:rPr>
      </w:pPr>
    </w:p>
    <w:p w:rsidR="00627E26" w:rsidRDefault="00627E26" w:rsidP="006E3F30">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Отдых и оздоровление детей в летний период</w:t>
      </w:r>
    </w:p>
    <w:p w:rsidR="00627E26" w:rsidRDefault="00627E26">
      <w:pPr>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Организация отдыха, оздоровления и занятости детей и подростков стала неотъемлемой частью социальной политики района.</w:t>
      </w:r>
    </w:p>
    <w:p w:rsidR="00627E26" w:rsidRDefault="00627E26" w:rsidP="006E3F30">
      <w:pPr>
        <w:autoSpaceDE w:val="0"/>
        <w:autoSpaceDN w:val="0"/>
        <w:adjustRightInd w:val="0"/>
        <w:spacing w:after="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«Доля детей школьного возраста (от 7 до 17 лет), охваченных организованными формами отдыха, оздоровления и занятости за период летней оздоровительной кампании» в 2021 году равен 94% и стабилен на протяжении нескольких лет. Данный показатель планируем оставить на достигнутом уровне. Инфраструктура организации летнего отдыха, занятости и оздоровления детей в сфере образования Новоселовского района представлена детским оздоровительным лагерем «Соснячок» муниципального бюджетного образовательного учреждения Новоселовского центра творчества и туризма (далее - ДОЛ «Соснячок»), лагерями дневного пребывания на базе 9 общеобразовательных учреждений, туристскими мероприятиями и  модульными школами краеведческой и социальной направленности.</w:t>
      </w:r>
    </w:p>
    <w:p w:rsidR="00627E26" w:rsidRDefault="00627E26" w:rsidP="006E3F30">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организации летней оздоровительной кампании Новоселовскому району их краевого бюджета выделены:</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- 6 353 119,00 руб. на организацию работы детского оздоровительного лагеря «Соснячок» и лагерей с дневным пребыванием детей общеобразовательных учреждениях района;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- 524 200,00 руб. на выплаты врачам (включая санитарных врачей), медицинским сестрам диетическим, шеф-поварам, старшим воспитателям ДОЛ «Соснячок»;</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- 1 624 200 руб. на укрепление материально-технической базы ДОЛ «Соснячок» (ремонт уличного освещения, благоустройство территории лагеря).</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2021 году в ДОЛ «Соснячок» прошло 3 оздоровительных смены для 423 детей.</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лагерь на 100% укомплектовывается педагогическими кадрами, медицинскими работниками, и обслуживающим персоналом.</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Субвенция на путевки в ДОЛ «Соснячок» освоена полностью.</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Родительская плата за путевку в ДОЛ «Соснячок» - 7158 рублей.</w:t>
      </w:r>
    </w:p>
    <w:p w:rsidR="00627E26" w:rsidRDefault="00627E26">
      <w:pPr>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rPr>
        <w:t>В 2021 году в рамках участия детского  оздоровительного  лагеря «Соснячок</w:t>
      </w:r>
      <w:r>
        <w:rPr>
          <w:rFonts w:ascii="Times New Roman CYR" w:hAnsi="Times New Roman CYR" w:cs="Times New Roman CYR"/>
        </w:rPr>
        <w:t xml:space="preserve">» </w:t>
      </w:r>
      <w:r>
        <w:rPr>
          <w:rFonts w:ascii="Times New Roman CYR" w:hAnsi="Times New Roman CYR" w:cs="Times New Roman CYR"/>
          <w:sz w:val="28"/>
          <w:szCs w:val="28"/>
        </w:rPr>
        <w:t xml:space="preserve">в  </w:t>
      </w:r>
      <w:r>
        <w:rPr>
          <w:rFonts w:ascii="Times New Roman CYR" w:hAnsi="Times New Roman CYR" w:cs="Times New Roman CYR"/>
          <w:color w:val="000000"/>
          <w:sz w:val="28"/>
          <w:szCs w:val="28"/>
          <w:highlight w:val="white"/>
        </w:rPr>
        <w:t xml:space="preserve">Программе лояльности </w:t>
      </w:r>
      <w:r>
        <w:rPr>
          <w:rFonts w:ascii="Times New Roman CYR" w:hAnsi="Times New Roman CYR" w:cs="Times New Roman CYR"/>
          <w:sz w:val="28"/>
          <w:szCs w:val="28"/>
        </w:rPr>
        <w:t>Акционерного общества «Национальная система платежных карт», родители (законные</w:t>
      </w:r>
      <w:r>
        <w:rPr>
          <w:rFonts w:cs="Calibri"/>
          <w:sz w:val="28"/>
          <w:szCs w:val="28"/>
        </w:rPr>
        <w:t xml:space="preserve"> </w:t>
      </w:r>
      <w:r>
        <w:rPr>
          <w:rFonts w:ascii="Times New Roman CYR" w:hAnsi="Times New Roman CYR" w:cs="Times New Roman CYR"/>
          <w:sz w:val="28"/>
          <w:szCs w:val="28"/>
        </w:rPr>
        <w:t xml:space="preserve">представители) детей смогли </w:t>
      </w:r>
      <w:r>
        <w:rPr>
          <w:rFonts w:ascii="Times New Roman CYR" w:hAnsi="Times New Roman CYR" w:cs="Times New Roman CYR"/>
          <w:color w:val="000000"/>
          <w:sz w:val="28"/>
          <w:szCs w:val="28"/>
          <w:highlight w:val="white"/>
        </w:rPr>
        <w:t>возвратить 50% оплаченной суммы за путевку для ребенка в лагерь.</w:t>
      </w:r>
    </w:p>
    <w:p w:rsidR="00627E26" w:rsidRDefault="00627E26">
      <w:pPr>
        <w:autoSpaceDE w:val="0"/>
        <w:autoSpaceDN w:val="0"/>
        <w:adjustRightInd w:val="0"/>
        <w:spacing w:after="0" w:line="240" w:lineRule="auto"/>
        <w:ind w:firstLine="709"/>
        <w:rPr>
          <w:rFonts w:cs="Calibri"/>
        </w:rPr>
      </w:pPr>
      <w:r>
        <w:rPr>
          <w:rFonts w:ascii="Times New Roman CYR" w:hAnsi="Times New Roman CYR" w:cs="Times New Roman CYR"/>
          <w:sz w:val="28"/>
          <w:szCs w:val="28"/>
        </w:rPr>
        <w:t xml:space="preserve">В целях создания безопасных условий пребывания детей в детском оздоровительном лагере «Соснячок» на 100% исполняются требования </w:t>
      </w:r>
      <w:r>
        <w:rPr>
          <w:rFonts w:ascii="Times New Roman CYR" w:hAnsi="Times New Roman CYR" w:cs="Times New Roman CYR"/>
          <w:sz w:val="28"/>
          <w:szCs w:val="28"/>
        </w:rPr>
        <w:lastRenderedPageBreak/>
        <w:t>Стандарта безопасности отдыха и оздоровления детей в загородных оздоровительных учреждениях</w:t>
      </w:r>
      <w:r>
        <w:rPr>
          <w:rFonts w:cs="Calibri"/>
        </w:rPr>
        <w:t>.</w:t>
      </w:r>
    </w:p>
    <w:p w:rsidR="00627E26" w:rsidRDefault="00627E26">
      <w:pPr>
        <w:autoSpaceDE w:val="0"/>
        <w:autoSpaceDN w:val="0"/>
        <w:adjustRightInd w:val="0"/>
        <w:spacing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укрепления здоровья, профилактики заболеваемости и безнадзорности детей в период летних каникул в районе была организована работа 9 лагерей с дневным пребыванием детей при общеобразовательных учреждениях, в которых оздоровилось 777 детей.</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2021 году более 100 обучающихся района приняли участие в  однодневных туристических походах. Все походы были организованы проученными инструкторами детско-юношеского туризма.</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2021 году Центром творчества и туризма стал победителем краевого инфраструктурного проекта «Территория Красноярский край» и в летний период  реализовали проект «Августовский Детский «БУМ», в рамках которого было организовано 9 мероприятий различной направленности для более 300 несовершеннолетних.</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17. Культура</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2021 году работа проводилась в рамках реализации мероприятий  с участием в реализации мероприятий государственной программы Красноярского края «Развитие культуры и туризма». На выполнение задач, поставленных на 2021 год, финансирование составило150315,4 тыс. рублей (в 2020 г. - 138977,0 тыс. 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Сеть учреждений культуры Новоселовского района включает в себя 54 организации АППГ(54 ед.), в том числе: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- 28 учреждений культурно-досугового типа входят в состав одного юридического лица - МБУК «Новоселовский РДК «Юность» с  филиалами на территориях семи сельсоветов района;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- 22 библиотеки  входят в состав одного юридического лица - МБУК Новоселовская МЦБ»;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муниципальный  музей;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 детскую школу искусств;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 муниципальных казенных учреждения («Управление культуры» и «Техноцентр»), осуществляющие  организационную и техническую поддержку учреждений культуры.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благоприятных условий развития учреждений культуры в 2021 году решались следующие задачи:</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Обеспечение достойной оплаты труда работников учреждений культуры, в соответствии с «Дорожной картой»: средняя заработная плата работников культуры  на 1 декабря 2021 года составила 33,5 тыс. рублей (в 2020 г. – 32,0 тыс.руб.);</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Повышение квалификации кадров является одним из важнейших элементов качественного предоставления услуг, повышения результативности труда сотрудников. В отчетном году  курсы повышения квалификации  и переподготовки по отрасли культуры прошли 24 специалистов.</w:t>
      </w:r>
    </w:p>
    <w:p w:rsidR="00627E26" w:rsidRDefault="00627E26">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3. Укрепление и модернизация материально-технической базы учреждений культуры: </w:t>
      </w:r>
    </w:p>
    <w:p w:rsidR="00627E26" w:rsidRDefault="00627E26">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проведены текущие и капитальные ремонты объектов культуры в 43  учреждениях, на эти цели выделено более 5967,6 тыс. рублей, в том числе:</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капитальный ремонт Чулымского СДК  -3563, 0 тыс. руб.,. за счет местного бюджета;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Кульчекского сельского клуба(замена кровли, ремонт крыльца)- 142,4 тыс. 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МБУК "Новоселовский РДК "Юность" (монтаж дымоудаления)- 1217,1 тыс. 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ремонт Николаевской библиотеки (косметический ремонт)- 110,3 тыс.</w:t>
      </w:r>
      <w:r w:rsidR="00412E72">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капитальный ремонт Бараитской теплотрассы - 445,6 тыс.</w:t>
      </w:r>
      <w:r w:rsidR="00412E72">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-водяной насос в Ч-Комский СК 85,0 т</w:t>
      </w:r>
      <w:r w:rsidR="00412E72">
        <w:rPr>
          <w:rFonts w:ascii="Times New Roman CYR" w:hAnsi="Times New Roman CYR" w:cs="Times New Roman CYR"/>
          <w:sz w:val="28"/>
          <w:szCs w:val="28"/>
        </w:rPr>
        <w:t>ыс</w:t>
      </w:r>
      <w:r>
        <w:rPr>
          <w:rFonts w:ascii="Times New Roman CYR" w:hAnsi="Times New Roman CYR" w:cs="Times New Roman CYR"/>
          <w:sz w:val="28"/>
          <w:szCs w:val="28"/>
        </w:rPr>
        <w:t>.</w:t>
      </w:r>
      <w:r w:rsidR="00412E72">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целостности ограждений (антитеррористическая защищенность) - 548,5 т. рублей.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Разработана проектно-сметная документация на капитальный ремонт Ч-Комского сельского клуба на сумму 380000.0 рублей ( из них краевые средства 376000.0 рублей)</w:t>
      </w:r>
    </w:p>
    <w:p w:rsidR="00627E26" w:rsidRDefault="00627E26">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приобретены мебель, шторы  для Новоселовской детской школы искусств – на сумму 221,1 тыс. руб., оборудование для сцены в Бараитский СДК – на сумму 87,6, тыс. рублей; стулья  для сельских клубов - на 100 тыс. рублей;  компьютерная и оргтехника для клубных учреждений на сумму 910,0 тыс. руб.</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4. Участие муниципальных учреждений Новоселовского района в краевых и федеральных программах: по целевой государственной программе Красноярского края «Развитие культуры и туризма» (с учетом софинансирования из местного бюджета) выделено:</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- 834,4 тыс. руб. на звуковое оборудование для Чулымского СДК;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- 300 тыс. руб. на установку оконных блоков, приобретение мебели  в Легостаевскую, Бараитскую, Николаевскую библиотеки;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- 515,6 тыс. руб. на комплектование библиотечных фондов муниципальных библиотек района.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2021  году приоритетными направлениями деятельности отрасли  «культура» Новоселовского района были:</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материально-технической базы учреждений;</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В отчетном году удалось значительно улучшить условия для работы и поднять уровень обеспеченности специальным оборудованием в учреждениях </w:t>
      </w:r>
      <w:r>
        <w:rPr>
          <w:rFonts w:ascii="Times New Roman CYR" w:hAnsi="Times New Roman CYR" w:cs="Times New Roman CYR"/>
          <w:sz w:val="28"/>
          <w:szCs w:val="28"/>
        </w:rPr>
        <w:lastRenderedPageBreak/>
        <w:t xml:space="preserve">клубного типа. Практически во всех учреждениях клубного типа и библиотеках сделаны косметические и текущие ремонты с заменой систем отопления и электроснабжения, кровельными работами и внутренней отделкой помещений. </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этого, выделялись средства из местного бюджета на приобретение мебели и сценических костюмов.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в отрасли решались кадровые задачи </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Основные показатели деятельности учреждений:</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посетителей мероприятий, организованных учреждениями культурно-досугового типа в 2021 году составило 130094 человек;</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клубных формирований 189 единиц, в том числе 96 детских;</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участников клубных формирований 2098человек;</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пользователей библиотек составило 12000 человек;</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посещений 108742;</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посещений музея составило 3600 человек;</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число обучающихся в детской школе искусств 152 человека;</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количество основного фонда музейных предметов 6500. </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Организовано 10 выставочных экспозиции, проведено 29 экскурсий, 2 мероприятий.</w:t>
      </w:r>
    </w:p>
    <w:p w:rsidR="00627E26" w:rsidRDefault="00627E26">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В течение 2021 года в домах культуры и сельских клубах было проведено 4744 культурно-массовых мероприятия, в том числе: Районное народное гуляние «Масленичный разгуляй»», ХII районный фестиваль патриотической песни «Солдатский конверт», праздничные концерты к 8 Марта,  праздничные программы к международному Дню пожилых людей  и др.</w:t>
      </w:r>
    </w:p>
    <w:p w:rsidR="003F33EC" w:rsidRDefault="003F33EC">
      <w:pPr>
        <w:tabs>
          <w:tab w:val="left" w:pos="851"/>
        </w:tabs>
        <w:autoSpaceDE w:val="0"/>
        <w:autoSpaceDN w:val="0"/>
        <w:adjustRightInd w:val="0"/>
        <w:spacing w:after="0" w:line="240" w:lineRule="auto"/>
        <w:jc w:val="both"/>
        <w:rPr>
          <w:rFonts w:ascii="Times New Roman CYR" w:hAnsi="Times New Roman CYR" w:cs="Times New Roman CYR"/>
          <w:sz w:val="28"/>
          <w:szCs w:val="28"/>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28. Физическая культура и спорт</w:t>
      </w:r>
    </w:p>
    <w:p w:rsidR="003F33EC" w:rsidRDefault="003F33EC">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отчетном году работа проводилась в соответствии с мероприятиями муниципальной программы «Развитие физической культуры, спорта и молодежной политики на территории  Новоселовского района».</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деятельности в отрасли физическая культура и спорт Новоселовский район замыкает тройку лучших сельских районов Красноярского края.</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2021 год в Новоселовском районе организовано и проведено более 60 физкультурных, спортивных мероприятий с общим количеством участников, превышающим 2 700 человек.</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населения Новоселовского района, систематически занимающегося физической культурой и спортом составила 49,32% (5692 чел.), в том числе по возрастам:</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Доля детей и молодежи в возрасте 3-29 лет, систематически занимающихся физической культурой и спортом 99,2% (3972 чел.);</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Доля граждан среднего возраста (женщины в возрасте 30-54 лет, мужчины в возрасте 30-59 лет), систематически занимающихся физической культурой и спортом – 31,97% (1419 чел.);</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Доля граждан старшего возраста (женщины в возрасте 55-79 лет, мужчины в возрасте 60-79 лет), систематически занимающихся физической культурой и спортом – 9,51% (301 чел.).</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перспективе до 2025 года значение показателей запланировано с незначительным ростом.</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июне сборная команда Новоселовского района стала абсолютным победителем 20 летних спортивных игр, среди районов с численностью населения менее 20 тыс. и заняла второе место в общекомандном зачете.</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 итогам «Сельской Нивы Красноярья» район получил 2 сертификата на сумму 500 и 300 тыс. рублей, на которые был приобретен спортивный инвентарь и оборудование, также форма для спортсменов.</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к выполнению испытаний комплекса приступило более шестисот человек в возрасте от 6 до 70 лет. 276 человек имеют золотые, серебряные и бронзовые знаки отличия комплекса ГТО.</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занимающихся в МБУ «Новоселовская спортивная школа» составляет 245 человек. В учреждении функционируют 3 отделения по игровым видам спорта шахматам и настольному теннису, по  командо – игровым видам спота: футбол, волейбол, спортивные единоборства вольная борьба и дзюдо.</w:t>
      </w:r>
    </w:p>
    <w:p w:rsidR="00627E26" w:rsidRDefault="00627E2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2021 году обучающимся СШ присвоено 22 массовых разрядов по настольному теннису, волейболу, футболу, шахматам. </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E3F30" w:rsidRDefault="006E3F30">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19. Социальная защита населения</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Система социальной защиты населения на территории Новоселовского района представлена 4учреждениями:</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highlight w:val="white"/>
        </w:rPr>
        <w:t>Территориальное отделение краевого государственного казенного учреждения «Управление социальной защиты населения» по  Новоселовскому району Красноярского края</w:t>
      </w:r>
      <w:r>
        <w:rPr>
          <w:rFonts w:ascii="Times New Roman CYR" w:hAnsi="Times New Roman CYR" w:cs="Times New Roman CYR"/>
          <w:sz w:val="28"/>
          <w:szCs w:val="28"/>
        </w:rPr>
        <w:t>;</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КГБУСО «Комплексный центр социального обслуживания населения «Новоселовский»;</w:t>
      </w:r>
    </w:p>
    <w:p w:rsidR="00627E26" w:rsidRDefault="00627E26">
      <w:pPr>
        <w:autoSpaceDE w:val="0"/>
        <w:autoSpaceDN w:val="0"/>
        <w:adjustRightInd w:val="0"/>
        <w:spacing w:after="0" w:line="240" w:lineRule="auto"/>
        <w:ind w:left="142" w:firstLine="566"/>
        <w:jc w:val="both"/>
        <w:rPr>
          <w:rFonts w:ascii="Times New Roman CYR" w:hAnsi="Times New Roman CYR" w:cs="Times New Roman CYR"/>
          <w:sz w:val="28"/>
          <w:szCs w:val="28"/>
        </w:rPr>
      </w:pPr>
      <w:r>
        <w:rPr>
          <w:rFonts w:ascii="Times New Roman CYR" w:hAnsi="Times New Roman CYR" w:cs="Times New Roman CYR"/>
          <w:sz w:val="28"/>
          <w:szCs w:val="28"/>
        </w:rPr>
        <w:t>- КГБУСО  «Центр  социальной помощи семье и детям «Приморский»;</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КГБУСО «Новоселовский дом-интернат для граждан пожилого возраста и инвалидов».</w:t>
      </w:r>
    </w:p>
    <w:p w:rsidR="003F33EC" w:rsidRDefault="003F33EC">
      <w:pPr>
        <w:autoSpaceDE w:val="0"/>
        <w:autoSpaceDN w:val="0"/>
        <w:adjustRightInd w:val="0"/>
        <w:spacing w:after="0" w:line="240" w:lineRule="auto"/>
        <w:ind w:firstLine="708"/>
        <w:jc w:val="both"/>
        <w:rPr>
          <w:rFonts w:ascii="Times New Roman CYR" w:hAnsi="Times New Roman CYR" w:cs="Times New Roman CYR"/>
          <w:sz w:val="28"/>
          <w:szCs w:val="28"/>
        </w:rPr>
      </w:pPr>
    </w:p>
    <w:p w:rsidR="003F33EC" w:rsidRDefault="003F33EC">
      <w:pPr>
        <w:autoSpaceDE w:val="0"/>
        <w:autoSpaceDN w:val="0"/>
        <w:adjustRightInd w:val="0"/>
        <w:spacing w:after="0" w:line="240" w:lineRule="auto"/>
        <w:ind w:firstLine="708"/>
        <w:jc w:val="both"/>
        <w:rPr>
          <w:rFonts w:ascii="Times New Roman CYR" w:hAnsi="Times New Roman CYR" w:cs="Times New Roman CYR"/>
          <w:sz w:val="28"/>
          <w:szCs w:val="28"/>
        </w:rPr>
      </w:pPr>
    </w:p>
    <w:p w:rsidR="003F33EC" w:rsidRDefault="003F33EC">
      <w:pPr>
        <w:autoSpaceDE w:val="0"/>
        <w:autoSpaceDN w:val="0"/>
        <w:adjustRightInd w:val="0"/>
        <w:spacing w:after="0" w:line="240" w:lineRule="auto"/>
        <w:ind w:firstLine="708"/>
        <w:jc w:val="both"/>
        <w:rPr>
          <w:rFonts w:ascii="Times New Roman CYR" w:hAnsi="Times New Roman CYR" w:cs="Times New Roman CYR"/>
          <w:sz w:val="28"/>
          <w:szCs w:val="28"/>
        </w:rPr>
      </w:pPr>
    </w:p>
    <w:p w:rsidR="003F33EC" w:rsidRDefault="003F33EC">
      <w:pPr>
        <w:autoSpaceDE w:val="0"/>
        <w:autoSpaceDN w:val="0"/>
        <w:adjustRightInd w:val="0"/>
        <w:spacing w:after="0" w:line="240" w:lineRule="auto"/>
        <w:ind w:firstLine="708"/>
        <w:jc w:val="both"/>
        <w:rPr>
          <w:rFonts w:ascii="Times New Roman CYR" w:hAnsi="Times New Roman CYR" w:cs="Times New Roman CYR"/>
          <w:sz w:val="28"/>
          <w:szCs w:val="28"/>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lastRenderedPageBreak/>
        <w:t>20. Жилищно-коммунальное хозяйство</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01.01.2021 года количество организаций жилищно-коммунального комплекса в районе составляет 9 ед., в том числе количество организаций коммунального комплекса – 7 ед.</w:t>
      </w:r>
    </w:p>
    <w:p w:rsidR="00627E26" w:rsidRDefault="00627E26">
      <w:pPr>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Показатель «Количество организаций коммунального комплекса, осуществляющих производство товаров, оказание услуг по водо-, тепло-, газа-,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образования в уставном капитале которых составляет не более 25%» составляет – 4 ед.</w:t>
      </w: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возмещения населением затрат на предоставление жилищно-коммунальных услуг по установленным для населения тарифам за 2021 год составил – 94,6 %.</w:t>
      </w: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собираемости платежей за предоставленные жилищно-коммунальные услуги составил 93,7 %.</w:t>
      </w: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1 января 2021 года общая площадь жилищного фонда района всех форм собственности составила 309,85 тыс. кв. м. и увеличилась к уровню прошлого года на 1,9273 тыс. кв. м (уточнение при инвентаризации по Толстомысенскому сельсовету 0,31 тыс. кв. м; новое строительство – Легостаевский сельсовет – 0,2747 тыс. кв. м.Новоселовский сельсовет – 0,5381 тыс. кв. м, Светлолобовский сельсовет – 0,177 тыс. кв. м, Толстомысенский сельсовет – 0,481 тыс. кв. м; Чулымский сельсовет – 0,4065 тыс.кв. м., выбыло по прочим причинам - 0,31 тыс. кв. м Новоселовский сельсовет)  . </w:t>
      </w: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Ввод в эксплуатацию жилых домов за счёт всех источников финансирования за 2021 год составил 1873,3 кв.м. общей площади, в том числе:</w:t>
      </w:r>
    </w:p>
    <w:p w:rsidR="00627E26" w:rsidRDefault="00627E26">
      <w:pPr>
        <w:shd w:val="clear" w:color="auto" w:fill="FFFFFF"/>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ввод в эксплуатацию индивидуальных жилых домов, построенных населением – 1873,3 кв.м.</w:t>
      </w: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многоквартирных жилых домов составляет – 89 ед.</w:t>
      </w:r>
    </w:p>
    <w:p w:rsidR="00627E26" w:rsidRDefault="00627E26">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Протяжённость тепловых и паровых сетей в районе составляет 25,04 км.  Одиночная протяженность уличных водопроводных сетей всех форм собственности составляет – 169,93  км, канализационных – 34,3 км.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xml:space="preserve">Всего в рамках подготовки к отопительному периоду 2020-2021 гг. на реализацию мероприятий по обеспечению жизнедеятельности объектов ЖКХ </w:t>
      </w:r>
      <w:r>
        <w:rPr>
          <w:rFonts w:ascii="Times New Roman CYR" w:hAnsi="Times New Roman CYR" w:cs="Times New Roman CYR"/>
          <w:sz w:val="28"/>
          <w:szCs w:val="28"/>
        </w:rPr>
        <w:t>израсходовано 19373,054 тыс. руб., в том числе 6399,954 тыс. руб</w:t>
      </w:r>
      <w:r>
        <w:rPr>
          <w:rFonts w:ascii="Times New Roman CYR" w:hAnsi="Times New Roman CYR" w:cs="Times New Roman CYR"/>
          <w:color w:val="000000"/>
          <w:sz w:val="28"/>
          <w:szCs w:val="28"/>
        </w:rPr>
        <w:t>. - средства организаций ЖКХ, 1003,374 тыс. руб. - средства местного бюджета, 9947,4 тыс. руб. - средства краевого бюджета.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xml:space="preserve">    В результате реализации муниципальной программы «Реформирование и модернизация жилищно-коммунального хозяйства и повышение энергетической </w:t>
      </w:r>
      <w:r>
        <w:rPr>
          <w:rFonts w:ascii="Times New Roman CYR" w:hAnsi="Times New Roman CYR" w:cs="Times New Roman CYR"/>
          <w:color w:val="000000"/>
          <w:sz w:val="28"/>
          <w:szCs w:val="28"/>
        </w:rPr>
        <w:lastRenderedPageBreak/>
        <w:t>эффективности»,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 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за счёт средств краевого и местного бюджетов было освоено 10069,774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Капитальный ремонт участка водопроводной сети от пересечения улиц Ленина/Театральная  до пересечения  улиц  Ленина/Промышленная  с.  Новоселово на сумму 4872,661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4813,00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59,661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Капитальный ремонт участка тепловой сети от дома № 3 до дома №13 по ул. Школьная в п. Толстый Мыс на сумму 900,690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889,80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10,890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Капитальный ремонт участка водопроводной сети от ВК № 1 до ВК № 2 по ул. Победы в п. Толстый Мыс на сумму 906,31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895,40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10,91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Капитальный ремонт водопроводной сети по ул. Целинная в с. Светлолобово от ВК 1 до ВК 1а и от ВК 26 до ВК 28 на сумму 841,126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830,90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10,226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Капитальный ремонт водопроводной сети по ул. Ленина в с. Светлолобово от ВК 11 до ВК 12 на сумму 354,362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350,10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4,262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Приобретение технологического оборудования в котельную п. Толстый Мыс на сумму 1515,875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1497,60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18,275 тыс. руб.; </w:t>
      </w:r>
    </w:p>
    <w:p w:rsidR="00627E26" w:rsidRDefault="00627E26">
      <w:pPr>
        <w:shd w:val="clear" w:color="auto" w:fill="FFFFFF"/>
        <w:autoSpaceDE w:val="0"/>
        <w:autoSpaceDN w:val="0"/>
        <w:adjustRightInd w:val="0"/>
        <w:spacing w:after="0" w:line="240" w:lineRule="auto"/>
        <w:ind w:firstLine="708"/>
        <w:jc w:val="both"/>
        <w:rPr>
          <w:rFonts w:cs="Calibri"/>
          <w:color w:val="000000"/>
        </w:rPr>
      </w:pPr>
      <w:r>
        <w:rPr>
          <w:rFonts w:ascii="Times New Roman CYR" w:hAnsi="Times New Roman CYR" w:cs="Times New Roman CYR"/>
          <w:color w:val="000000"/>
          <w:sz w:val="28"/>
          <w:szCs w:val="28"/>
        </w:rPr>
        <w:t>-  Приобретение технологического оборудования в котельную с. Светлолобово на сумму 678,75 тыс. руб., в том числе: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краевого бюджета – 670,60 тыс. руб.; </w:t>
      </w:r>
    </w:p>
    <w:p w:rsidR="00627E26" w:rsidRDefault="00627E26">
      <w:pPr>
        <w:shd w:val="clear" w:color="auto" w:fill="FFFFFF"/>
        <w:autoSpaceDE w:val="0"/>
        <w:autoSpaceDN w:val="0"/>
        <w:adjustRightInd w:val="0"/>
        <w:spacing w:after="0" w:line="240" w:lineRule="auto"/>
        <w:jc w:val="both"/>
        <w:rPr>
          <w:rFonts w:cs="Calibri"/>
          <w:color w:val="000000"/>
        </w:rPr>
      </w:pPr>
      <w:r>
        <w:rPr>
          <w:rFonts w:ascii="Times New Roman CYR" w:hAnsi="Times New Roman CYR" w:cs="Times New Roman CYR"/>
          <w:color w:val="000000"/>
          <w:sz w:val="28"/>
          <w:szCs w:val="28"/>
        </w:rPr>
        <w:t>- средства местного бюджета – 8,15 тыс. руб.; </w:t>
      </w:r>
    </w:p>
    <w:p w:rsidR="00627E26" w:rsidRDefault="00627E26">
      <w:pPr>
        <w:shd w:val="clear" w:color="auto" w:fill="FFFFFF"/>
        <w:autoSpaceDE w:val="0"/>
        <w:autoSpaceDN w:val="0"/>
        <w:adjustRightInd w:val="0"/>
        <w:spacing w:after="0" w:line="240" w:lineRule="auto"/>
        <w:ind w:firstLine="708"/>
        <w:jc w:val="both"/>
        <w:rPr>
          <w:rFonts w:cs="Calibri"/>
        </w:rPr>
      </w:pPr>
      <w:r>
        <w:rPr>
          <w:rFonts w:ascii="Times New Roman CYR" w:hAnsi="Times New Roman CYR" w:cs="Times New Roman CYR"/>
          <w:color w:val="000000"/>
          <w:sz w:val="28"/>
          <w:szCs w:val="28"/>
        </w:rPr>
        <w:t>В соответствии с разработанными планами по подготовке к отопительному периоду 2020-2021 гг. за счёт средств организаций жилищно-</w:t>
      </w:r>
      <w:r>
        <w:rPr>
          <w:rFonts w:ascii="Times New Roman CYR" w:hAnsi="Times New Roman CYR" w:cs="Times New Roman CYR"/>
          <w:color w:val="000000"/>
          <w:sz w:val="28"/>
          <w:szCs w:val="28"/>
        </w:rPr>
        <w:lastRenderedPageBreak/>
        <w:t xml:space="preserve">коммунального хозяйства выполнены следующие мероприятия на сумму </w:t>
      </w:r>
      <w:r>
        <w:rPr>
          <w:rFonts w:ascii="Times New Roman CYR" w:hAnsi="Times New Roman CYR" w:cs="Times New Roman CYR"/>
          <w:sz w:val="28"/>
          <w:szCs w:val="28"/>
        </w:rPr>
        <w:t>6399,954 тыс. руб.: </w:t>
      </w:r>
    </w:p>
    <w:p w:rsidR="00627E26" w:rsidRDefault="00627E26">
      <w:pPr>
        <w:shd w:val="clear" w:color="auto" w:fill="FFFFFF"/>
        <w:autoSpaceDE w:val="0"/>
        <w:autoSpaceDN w:val="0"/>
        <w:adjustRightInd w:val="0"/>
        <w:spacing w:after="0" w:line="240" w:lineRule="auto"/>
        <w:jc w:val="both"/>
        <w:rPr>
          <w:rFonts w:cs="Calibri"/>
        </w:rPr>
      </w:pPr>
      <w:r>
        <w:rPr>
          <w:rFonts w:ascii="Times New Roman CYR" w:hAnsi="Times New Roman CYR" w:cs="Times New Roman CYR"/>
          <w:sz w:val="28"/>
          <w:szCs w:val="28"/>
        </w:rPr>
        <w:t>- подготовка жилищного фонда – 1019,23 тыс. руб.;</w:t>
      </w:r>
    </w:p>
    <w:p w:rsidR="00627E26" w:rsidRDefault="00627E26">
      <w:pPr>
        <w:shd w:val="clear" w:color="auto" w:fill="FFFFFF"/>
        <w:autoSpaceDE w:val="0"/>
        <w:autoSpaceDN w:val="0"/>
        <w:adjustRightInd w:val="0"/>
        <w:spacing w:after="0" w:line="240" w:lineRule="auto"/>
        <w:jc w:val="both"/>
        <w:rPr>
          <w:rFonts w:cs="Calibri"/>
        </w:rPr>
      </w:pPr>
      <w:r>
        <w:rPr>
          <w:rFonts w:ascii="Times New Roman CYR" w:hAnsi="Times New Roman CYR" w:cs="Times New Roman CYR"/>
          <w:sz w:val="28"/>
          <w:szCs w:val="28"/>
        </w:rPr>
        <w:t>- подготовка объектов коммунального хозяйства – 5380,724 тыс. руб.</w:t>
      </w:r>
    </w:p>
    <w:p w:rsidR="00627E26" w:rsidRDefault="00627E26">
      <w:pPr>
        <w:shd w:val="clear" w:color="auto" w:fill="FFFFFF"/>
        <w:autoSpaceDE w:val="0"/>
        <w:autoSpaceDN w:val="0"/>
        <w:adjustRightInd w:val="0"/>
        <w:spacing w:after="0" w:line="240" w:lineRule="auto"/>
        <w:jc w:val="both"/>
        <w:rPr>
          <w:rFonts w:cs="Calibri"/>
        </w:rPr>
      </w:pPr>
      <w:r>
        <w:rPr>
          <w:rFonts w:ascii="Times New Roman CYR" w:hAnsi="Times New Roman CYR" w:cs="Times New Roman CYR"/>
          <w:sz w:val="28"/>
          <w:szCs w:val="28"/>
        </w:rPr>
        <w:t>в том числе:</w:t>
      </w:r>
    </w:p>
    <w:p w:rsidR="00627E26" w:rsidRDefault="00627E26">
      <w:pPr>
        <w:shd w:val="clear" w:color="auto" w:fill="FFFFFF"/>
        <w:autoSpaceDE w:val="0"/>
        <w:autoSpaceDN w:val="0"/>
        <w:adjustRightInd w:val="0"/>
        <w:spacing w:after="0" w:line="240" w:lineRule="auto"/>
        <w:jc w:val="both"/>
        <w:rPr>
          <w:rFonts w:cs="Calibri"/>
        </w:rPr>
      </w:pPr>
      <w:r>
        <w:rPr>
          <w:rFonts w:ascii="Times New Roman CYR" w:hAnsi="Times New Roman CYR" w:cs="Times New Roman CYR"/>
          <w:sz w:val="28"/>
          <w:szCs w:val="28"/>
        </w:rPr>
        <w:t>    - создание нормативного запаса топлива – 1523,752 тыс. руб.; </w:t>
      </w:r>
    </w:p>
    <w:p w:rsidR="00627E26" w:rsidRDefault="00627E26">
      <w:pPr>
        <w:shd w:val="clear" w:color="auto" w:fill="FFFFFF"/>
        <w:autoSpaceDE w:val="0"/>
        <w:autoSpaceDN w:val="0"/>
        <w:adjustRightInd w:val="0"/>
        <w:spacing w:after="0" w:line="240" w:lineRule="auto"/>
        <w:jc w:val="both"/>
        <w:rPr>
          <w:rFonts w:cs="Calibri"/>
        </w:rPr>
      </w:pPr>
      <w:r>
        <w:rPr>
          <w:rFonts w:ascii="Times New Roman CYR" w:hAnsi="Times New Roman CYR" w:cs="Times New Roman CYR"/>
          <w:sz w:val="28"/>
          <w:szCs w:val="28"/>
        </w:rPr>
        <w:t>    - создание запаса материально - технических ресурсов – 356,510  тыс. руб.; </w:t>
      </w:r>
    </w:p>
    <w:p w:rsidR="00627E26" w:rsidRDefault="00627E26">
      <w:pPr>
        <w:shd w:val="clear" w:color="auto" w:fill="FFFFFF"/>
        <w:autoSpaceDE w:val="0"/>
        <w:autoSpaceDN w:val="0"/>
        <w:adjustRightInd w:val="0"/>
        <w:spacing w:after="0" w:line="240" w:lineRule="auto"/>
        <w:jc w:val="both"/>
        <w:rPr>
          <w:rFonts w:cs="Calibri"/>
        </w:rPr>
      </w:pPr>
      <w:r>
        <w:rPr>
          <w:rFonts w:ascii="Times New Roman CYR" w:hAnsi="Times New Roman CYR" w:cs="Times New Roman CYR"/>
          <w:sz w:val="28"/>
          <w:szCs w:val="28"/>
        </w:rPr>
        <w:t>    - на ремонт и подготовку объектов коммунального хозяйства  - 3500,462 тыс. руб. </w:t>
      </w: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p>
    <w:p w:rsidR="00627E26" w:rsidRDefault="00627E26">
      <w:pPr>
        <w:widowControl w:val="0"/>
        <w:autoSpaceDE w:val="0"/>
        <w:autoSpaceDN w:val="0"/>
        <w:adjustRightInd w:val="0"/>
        <w:spacing w:after="0" w:line="240" w:lineRule="auto"/>
        <w:rPr>
          <w:rFonts w:ascii="Times New Roman CYR" w:hAnsi="Times New Roman CYR" w:cs="Times New Roman CYR"/>
          <w:color w:val="000000"/>
          <w:sz w:val="12"/>
          <w:szCs w:val="12"/>
        </w:rPr>
      </w:pPr>
      <w:r>
        <w:rPr>
          <w:rFonts w:ascii="Times New Roman CYR" w:hAnsi="Times New Roman CYR" w:cs="Times New Roman CYR"/>
          <w:b/>
          <w:bCs/>
          <w:color w:val="000000"/>
          <w:sz w:val="28"/>
          <w:szCs w:val="28"/>
        </w:rPr>
        <w:t>21. Экология</w:t>
      </w: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ТОВР по Красноярскому краю объем водопотребления (забрано воды) из природных источников в 2021 г.  составил 166,00 тыс. куб. м. в сравнении с 2020 годом (444,45 тыс. куб.) произошло уменьшение на  62,7 %. Объем водопотребления (забрано воды) из подземных источников в 2021г. составил 166,0 тыс. куб. м., в сравнении с 2020 годом (221,33 тыс. куб.) произошло уменьшение на 25 %. Изменения связаны со снятием с государственного учета использования вод ООО «Водоканал Плюс» и МУП «Анашенский ТВК», а также с тем, что  ГПКК «ЦРКК» с. Новоселово, п. Анаш – не представили отчет за 2021 год.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Показатель «Объем использования воды, забранной из природных источников, используемой на производственные нужды»   по сравнению с 2020 годом (6,38тыс. куб.) уменьшился на 42,2%  и составил 3,69 тыс. куб. м. в 2021 г.</w:t>
      </w:r>
      <w:r>
        <w:rPr>
          <w:rFonts w:ascii="Times New Roman CYR" w:hAnsi="Times New Roman CYR" w:cs="Times New Roman CYR"/>
          <w:sz w:val="20"/>
          <w:szCs w:val="20"/>
        </w:rPr>
        <w:t xml:space="preserve"> </w:t>
      </w:r>
      <w:r>
        <w:rPr>
          <w:rFonts w:ascii="Times New Roman CYR" w:hAnsi="Times New Roman CYR" w:cs="Times New Roman CYR"/>
          <w:sz w:val="28"/>
          <w:szCs w:val="28"/>
        </w:rPr>
        <w:t>Изменения связаны со снятием с государственного учета использования вод ООО «Водоканал Плюс» и МУП «Анашенский ТВК», а также с тем, что  ГПКК «ЦРКК» с. Новоселово, п. Анаш – не представили отчет за 2021 год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«Количество воды, используемой на хозяйственно – питьевые нужды» уменьшился по сравнению с 2020 годом (312,83 тыс. куб.) на 73,4 % и составил 83,36 тыс. куб. м. в 2021 г.</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Изменения связаны со снятием с государственного учета использования вод ООО «Водоканал Плюс» и МУП «Анашенский ТВК», а также с тем, что  ГПКК «ЦРКК» с. Новоселово, п. Анаш – не представили отчет за 2021 год.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«Количество водозаборных сооружений, оснащенных системами учета воды» снизился по сравнению с 2020 годом (4 ед.) и составил 3 ед. в 2021 году.</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Изменения связаны со снятием с государственного учета использования вод ООО «Водоканал Плюс» и МУП «Анашенский ТВК», а также с тем, что  ГПКК «ЦРКК» с. Новоселово, п. Анаш – не представили отчет за 2021 год.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«Объем сброса загрязненных сточных вод (без очистки и недостаточно очищенных) в водные объекты, на рельеф, в подземные </w:t>
      </w:r>
      <w:r>
        <w:rPr>
          <w:rFonts w:ascii="Times New Roman CYR" w:hAnsi="Times New Roman CYR" w:cs="Times New Roman CYR"/>
          <w:sz w:val="28"/>
          <w:szCs w:val="28"/>
        </w:rPr>
        <w:lastRenderedPageBreak/>
        <w:t>горизонты»  составил 56,61  тыс. куб. м и  в сравнении с 2020 годом (188,06 тыс. куб.) уменьшился на 70 %</w:t>
      </w:r>
      <w:r>
        <w:rPr>
          <w:rFonts w:ascii="Times New Roman CYR" w:hAnsi="Times New Roman CYR" w:cs="Times New Roman CYR"/>
          <w:sz w:val="20"/>
          <w:szCs w:val="20"/>
        </w:rPr>
        <w:t xml:space="preserve">. </w:t>
      </w:r>
      <w:r>
        <w:rPr>
          <w:rFonts w:ascii="Times New Roman CYR" w:hAnsi="Times New Roman CYR" w:cs="Times New Roman CYR"/>
          <w:sz w:val="28"/>
          <w:szCs w:val="28"/>
        </w:rPr>
        <w:t>Изменения связаны со снятием с государственного учета использования вод ООО «Водоканал Плюс», а также с тем, что  ГПКК «ЦРКК» с. Новоселово, п. Анаш – не представили отчет за 2021 год.</w:t>
      </w:r>
      <w:r>
        <w:rPr>
          <w:rFonts w:ascii="Times New Roman CYR" w:hAnsi="Times New Roman CYR" w:cs="Times New Roman CYR"/>
          <w:sz w:val="20"/>
          <w:szCs w:val="20"/>
        </w:rPr>
        <w:t xml:space="preserve">  </w:t>
      </w:r>
      <w:r>
        <w:rPr>
          <w:rFonts w:ascii="Times New Roman CYR" w:hAnsi="Times New Roman CYR" w:cs="Times New Roman CYR"/>
          <w:sz w:val="28"/>
          <w:szCs w:val="28"/>
        </w:rPr>
        <w:t xml:space="preserve"> и в последующие 2022-2025г.г. данный показатель останется на  уровне 2020 года.</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Объем сброса загрязненных сточных вод в поверхностные водные объекты уменьшился  по сравнению с 2020 годом (127,57 тыс. куб.) и составил 0  тыс. куб. м. Изменения связаны со снятием с государственного учета использования вод ООО «Водоканал Плюс»,   в последующие 2022-2025г.г. данный показатель останется на уровне 2020 года.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Росприроднадзора на основании отчета 2-ТП (воздух), объем загрязняющих веществ, отходящих от стационарных источников загрязнения атмосферного воздуха  в 2021 году в сравнении с 2020 годом (1126,64 тон)  уменьшился   -  на 11 % и составил 1002,0 тон., из этого числа уловлено и обезврежено 479,0 тон. вредных веществ, в 2020 году 532,78 тон.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Удельный вес уловленных и обезвреженных вредных веществ в общем объеме загрязняющих веществ, отходящих от стационарных источников загрязнения  атмосферного воздуха в 2021 году  составил  47,8  %, что незначительно выше значения прошлого года.</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Выброшено в атмосферный воздух загрязняющих веществ от стационарных источников загрязнения атмосферного воздуха в 2021 г. – 523,0  тон  (в 2020 году 593,86  тон), что ниже показателя прошлого года на 12 %.</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Уменьшение объема выбросов в атмосферный воздух загрязняющих веществ, стационарными источниками загрязнения произошло за счет большего  количества отчитывающихся организаций  за 2020 год.  </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Объем выбросов в атмосферный воздух загрязняющих веществ от передвижных источников (в 2020 году 2219,05 тн.) остался на уровне прошлого года составил – 2220 тн. в связи с тем, что численность автотранспортных средств осталась без изменений.</w:t>
      </w:r>
    </w:p>
    <w:p w:rsidR="00627E26" w:rsidRDefault="00627E26">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отходов производства по классам опасности для окружающей среды по данным Росприроднадзора</w:t>
      </w:r>
      <w:r w:rsidR="006E3F30">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2021 году </w:t>
      </w:r>
      <w:r w:rsidR="006E3F30">
        <w:rPr>
          <w:rFonts w:ascii="Times New Roman CYR" w:hAnsi="Times New Roman CYR" w:cs="Times New Roman CYR"/>
          <w:sz w:val="28"/>
          <w:szCs w:val="28"/>
        </w:rPr>
        <w:t xml:space="preserve">составили </w:t>
      </w:r>
      <w:r>
        <w:rPr>
          <w:rFonts w:ascii="Times New Roman CYR" w:hAnsi="Times New Roman CYR" w:cs="Times New Roman CYR"/>
          <w:sz w:val="28"/>
          <w:szCs w:val="28"/>
        </w:rPr>
        <w:t>– 647</w:t>
      </w:r>
      <w:r w:rsidR="003F33E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тн.  в т. ч по классам опасности:  </w:t>
      </w:r>
    </w:p>
    <w:p w:rsidR="006E3F30" w:rsidRDefault="006E3F30">
      <w:pPr>
        <w:autoSpaceDE w:val="0"/>
        <w:autoSpaceDN w:val="0"/>
        <w:adjustRightInd w:val="0"/>
        <w:spacing w:after="0" w:line="240" w:lineRule="auto"/>
        <w:ind w:firstLine="720"/>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00"/>
        <w:gridCol w:w="5762"/>
      </w:tblGrid>
      <w:tr w:rsidR="00627E26" w:rsidRPr="00D07EE8">
        <w:tblPrEx>
          <w:tblCellMar>
            <w:top w:w="0" w:type="dxa"/>
            <w:bottom w:w="0" w:type="dxa"/>
          </w:tblCellMar>
        </w:tblPrEx>
        <w:tc>
          <w:tcPr>
            <w:tcW w:w="3700"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Класс опасности</w:t>
            </w:r>
          </w:p>
        </w:tc>
        <w:tc>
          <w:tcPr>
            <w:tcW w:w="5762"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2021 г.</w:t>
            </w:r>
          </w:p>
        </w:tc>
      </w:tr>
      <w:tr w:rsidR="00627E26" w:rsidRPr="00D07EE8">
        <w:tblPrEx>
          <w:tblCellMar>
            <w:top w:w="0" w:type="dxa"/>
            <w:bottom w:w="0" w:type="dxa"/>
          </w:tblCellMar>
        </w:tblPrEx>
        <w:tc>
          <w:tcPr>
            <w:tcW w:w="3700"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I</w:t>
            </w:r>
          </w:p>
        </w:tc>
        <w:tc>
          <w:tcPr>
            <w:tcW w:w="5762"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0,0</w:t>
            </w:r>
          </w:p>
        </w:tc>
      </w:tr>
      <w:tr w:rsidR="00627E26" w:rsidRPr="00D07EE8">
        <w:tblPrEx>
          <w:tblCellMar>
            <w:top w:w="0" w:type="dxa"/>
            <w:bottom w:w="0" w:type="dxa"/>
          </w:tblCellMar>
        </w:tblPrEx>
        <w:tc>
          <w:tcPr>
            <w:tcW w:w="3700"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II</w:t>
            </w:r>
          </w:p>
        </w:tc>
        <w:tc>
          <w:tcPr>
            <w:tcW w:w="5762"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0,0</w:t>
            </w:r>
          </w:p>
        </w:tc>
      </w:tr>
      <w:tr w:rsidR="00627E26" w:rsidRPr="00D07EE8">
        <w:tblPrEx>
          <w:tblCellMar>
            <w:top w:w="0" w:type="dxa"/>
            <w:bottom w:w="0" w:type="dxa"/>
          </w:tblCellMar>
        </w:tblPrEx>
        <w:tc>
          <w:tcPr>
            <w:tcW w:w="3700"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III</w:t>
            </w:r>
          </w:p>
        </w:tc>
        <w:tc>
          <w:tcPr>
            <w:tcW w:w="5762"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0,0</w:t>
            </w:r>
          </w:p>
        </w:tc>
      </w:tr>
      <w:tr w:rsidR="00627E26" w:rsidRPr="00D07EE8">
        <w:tblPrEx>
          <w:tblCellMar>
            <w:top w:w="0" w:type="dxa"/>
            <w:bottom w:w="0" w:type="dxa"/>
          </w:tblCellMar>
        </w:tblPrEx>
        <w:tc>
          <w:tcPr>
            <w:tcW w:w="3700"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IV</w:t>
            </w:r>
          </w:p>
        </w:tc>
        <w:tc>
          <w:tcPr>
            <w:tcW w:w="5762"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634,0</w:t>
            </w:r>
          </w:p>
        </w:tc>
      </w:tr>
      <w:tr w:rsidR="00627E26" w:rsidRPr="00D07EE8">
        <w:tblPrEx>
          <w:tblCellMar>
            <w:top w:w="0" w:type="dxa"/>
            <w:bottom w:w="0" w:type="dxa"/>
          </w:tblCellMar>
        </w:tblPrEx>
        <w:tc>
          <w:tcPr>
            <w:tcW w:w="3700" w:type="dxa"/>
            <w:tcBorders>
              <w:top w:val="single" w:sz="4" w:space="0" w:color="auto"/>
              <w:bottom w:val="single" w:sz="4" w:space="0" w:color="auto"/>
              <w:right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V</w:t>
            </w:r>
          </w:p>
        </w:tc>
        <w:tc>
          <w:tcPr>
            <w:tcW w:w="5762" w:type="dxa"/>
            <w:tcBorders>
              <w:top w:val="single" w:sz="4" w:space="0" w:color="auto"/>
              <w:left w:val="single" w:sz="4" w:space="0" w:color="auto"/>
              <w:bottom w:val="single" w:sz="4" w:space="0" w:color="auto"/>
            </w:tcBorders>
          </w:tcPr>
          <w:p w:rsidR="00627E26" w:rsidRPr="00D07EE8" w:rsidRDefault="00627E26">
            <w:pPr>
              <w:autoSpaceDE w:val="0"/>
              <w:autoSpaceDN w:val="0"/>
              <w:adjustRightInd w:val="0"/>
              <w:spacing w:after="0" w:line="240" w:lineRule="auto"/>
              <w:jc w:val="center"/>
              <w:rPr>
                <w:rFonts w:ascii="Times New Roman CYR" w:hAnsi="Times New Roman CYR" w:cs="Times New Roman CYR"/>
                <w:sz w:val="28"/>
                <w:szCs w:val="28"/>
              </w:rPr>
            </w:pPr>
            <w:r w:rsidRPr="00D07EE8">
              <w:rPr>
                <w:rFonts w:ascii="Times New Roman CYR" w:hAnsi="Times New Roman CYR" w:cs="Times New Roman CYR"/>
                <w:sz w:val="28"/>
                <w:szCs w:val="28"/>
              </w:rPr>
              <w:t>13,0</w:t>
            </w:r>
          </w:p>
        </w:tc>
      </w:tr>
    </w:tbl>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Количество организаций, использующих отходы в качестве вторичных материальных ресурсов, всех форм собственности: 1 - ЗАО «Светлолобовское».  Использует лом и отходы черных металлов.</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Так же на территории района расположен один объект размещения отходов общей площадью 0,99 га, выполненный и эксплуатирующийся в соответствии с </w:t>
      </w:r>
      <w:r>
        <w:rPr>
          <w:rFonts w:ascii="Times New Roman CYR" w:hAnsi="Times New Roman CYR" w:cs="Times New Roman CYR"/>
          <w:sz w:val="28"/>
          <w:szCs w:val="28"/>
        </w:rPr>
        <w:t>экологическими, строительными и санитарными нормами и правилами</w:t>
      </w:r>
      <w:r>
        <w:rPr>
          <w:rFonts w:ascii="Times New Roman CYR" w:hAnsi="Times New Roman CYR" w:cs="Times New Roman CYR"/>
          <w:color w:val="000000"/>
          <w:sz w:val="28"/>
          <w:szCs w:val="28"/>
        </w:rPr>
        <w:t xml:space="preserve">, согласно проектам, прошедшим государственную экспертизу </w:t>
      </w:r>
      <w:r>
        <w:rPr>
          <w:rFonts w:ascii="Times New Roman CYR" w:hAnsi="Times New Roman CYR" w:cs="Times New Roman CYR"/>
          <w:sz w:val="28"/>
          <w:szCs w:val="28"/>
        </w:rPr>
        <w:t>(полигон хранения твердых бытовых отходов)  мощность которого 20302 тн.</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территории района расположено два объекта захоронения биологических отходов (биотермические ямы), один не эксплуатируется – законсервирован. Один действующий, выполненный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Мощность объекта 22 тон., занимает площадь 210 м2.</w:t>
      </w:r>
    </w:p>
    <w:p w:rsidR="00627E26" w:rsidRDefault="00627E26">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предприятий по утилизации и переработке бытовых и промышленных отходов всех форм собственности  одно - ООО «Эко-Транспорт».</w:t>
      </w:r>
    </w:p>
    <w:p w:rsidR="00627E26" w:rsidRDefault="00627E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Вывезено за год твердых коммунальных отходов </w:t>
      </w:r>
      <w:r w:rsidR="00412E72">
        <w:rPr>
          <w:rFonts w:ascii="Times New Roman CYR" w:hAnsi="Times New Roman CYR" w:cs="Times New Roman CYR"/>
          <w:sz w:val="28"/>
          <w:szCs w:val="28"/>
        </w:rPr>
        <w:t>-</w:t>
      </w:r>
      <w:r>
        <w:rPr>
          <w:rFonts w:ascii="Times New Roman CYR" w:hAnsi="Times New Roman CYR" w:cs="Times New Roman CYR"/>
          <w:sz w:val="28"/>
          <w:szCs w:val="28"/>
        </w:rPr>
        <w:t xml:space="preserve"> 11,9 тыс. куб. м., что больше уровня 2020 года на 3,5%. </w:t>
      </w:r>
    </w:p>
    <w:p w:rsidR="00627E26" w:rsidRDefault="00627E26">
      <w:pPr>
        <w:autoSpaceDE w:val="0"/>
        <w:autoSpaceDN w:val="0"/>
        <w:adjustRightInd w:val="0"/>
        <w:spacing w:after="0" w:line="240" w:lineRule="auto"/>
        <w:ind w:firstLine="708"/>
        <w:rPr>
          <w:rFonts w:ascii="Times New Roman CYR" w:hAnsi="Times New Roman CYR" w:cs="Times New Roman CYR"/>
          <w:sz w:val="28"/>
          <w:szCs w:val="28"/>
        </w:rPr>
      </w:pP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MS Sans Serif" w:hAnsi="MS Sans Serif" w:cs="MS Sans Serif"/>
          <w:sz w:val="16"/>
          <w:szCs w:val="16"/>
        </w:rPr>
      </w:pPr>
    </w:p>
    <w:p w:rsidR="00627E26" w:rsidRDefault="00627E26">
      <w:pPr>
        <w:widowControl w:val="0"/>
        <w:autoSpaceDE w:val="0"/>
        <w:autoSpaceDN w:val="0"/>
        <w:adjustRightInd w:val="0"/>
        <w:spacing w:after="0" w:line="240" w:lineRule="auto"/>
        <w:rPr>
          <w:rFonts w:ascii="Times New Roman CYR" w:hAnsi="Times New Roman CYR" w:cs="Times New Roman CYR"/>
          <w:sz w:val="24"/>
          <w:szCs w:val="24"/>
        </w:rPr>
      </w:pPr>
    </w:p>
    <w:sectPr w:rsidR="00627E26" w:rsidSect="009E298B">
      <w:headerReference w:type="default" r:id="rId7"/>
      <w:pgSz w:w="12240" w:h="15840"/>
      <w:pgMar w:top="567" w:right="851" w:bottom="680" w:left="1701" w:header="720" w:footer="720" w:gutter="0"/>
      <w:pgNumType w:start="213"/>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350" w:rsidRDefault="00956350" w:rsidP="00D07EE8">
      <w:pPr>
        <w:spacing w:after="0" w:line="240" w:lineRule="auto"/>
      </w:pPr>
      <w:r>
        <w:separator/>
      </w:r>
    </w:p>
  </w:endnote>
  <w:endnote w:type="continuationSeparator" w:id="1">
    <w:p w:rsidR="00956350" w:rsidRDefault="00956350" w:rsidP="00D07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350" w:rsidRDefault="00956350" w:rsidP="00D07EE8">
      <w:pPr>
        <w:spacing w:after="0" w:line="240" w:lineRule="auto"/>
      </w:pPr>
      <w:r>
        <w:separator/>
      </w:r>
    </w:p>
  </w:footnote>
  <w:footnote w:type="continuationSeparator" w:id="1">
    <w:p w:rsidR="00956350" w:rsidRDefault="00956350" w:rsidP="00D07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E8" w:rsidRDefault="00D07EE8">
    <w:pPr>
      <w:pStyle w:val="a3"/>
      <w:jc w:val="center"/>
    </w:pPr>
    <w:fldSimple w:instr="PAGE   \* MERGEFORMAT">
      <w:r w:rsidR="00BC5D92">
        <w:rPr>
          <w:noProof/>
        </w:rPr>
        <w:t>246</w:t>
      </w:r>
    </w:fldSimple>
  </w:p>
  <w:p w:rsidR="00D07EE8" w:rsidRDefault="00D07E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4ABC2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07EE8"/>
    <w:rsid w:val="00057AA0"/>
    <w:rsid w:val="000669F5"/>
    <w:rsid w:val="000F49BE"/>
    <w:rsid w:val="00263C78"/>
    <w:rsid w:val="0034353C"/>
    <w:rsid w:val="003F33EC"/>
    <w:rsid w:val="00412E72"/>
    <w:rsid w:val="00477462"/>
    <w:rsid w:val="00627E26"/>
    <w:rsid w:val="006E3F30"/>
    <w:rsid w:val="00956350"/>
    <w:rsid w:val="009E298B"/>
    <w:rsid w:val="00AD3B0C"/>
    <w:rsid w:val="00B43550"/>
    <w:rsid w:val="00BC5D92"/>
    <w:rsid w:val="00BE06E2"/>
    <w:rsid w:val="00D07EE8"/>
    <w:rsid w:val="00F01246"/>
    <w:rsid w:val="00FD5D17"/>
    <w:rsid w:val="00FF2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EE8"/>
    <w:pPr>
      <w:tabs>
        <w:tab w:val="center" w:pos="4677"/>
        <w:tab w:val="right" w:pos="9355"/>
      </w:tabs>
    </w:pPr>
  </w:style>
  <w:style w:type="character" w:customStyle="1" w:styleId="a4">
    <w:name w:val="Верхний колонтитул Знак"/>
    <w:basedOn w:val="a0"/>
    <w:link w:val="a3"/>
    <w:uiPriority w:val="99"/>
    <w:locked/>
    <w:rsid w:val="00D07EE8"/>
    <w:rPr>
      <w:rFonts w:cs="Times New Roman"/>
    </w:rPr>
  </w:style>
  <w:style w:type="paragraph" w:styleId="a5">
    <w:name w:val="footer"/>
    <w:basedOn w:val="a"/>
    <w:link w:val="a6"/>
    <w:uiPriority w:val="99"/>
    <w:unhideWhenUsed/>
    <w:rsid w:val="00D07EE8"/>
    <w:pPr>
      <w:tabs>
        <w:tab w:val="center" w:pos="4677"/>
        <w:tab w:val="right" w:pos="9355"/>
      </w:tabs>
    </w:pPr>
  </w:style>
  <w:style w:type="character" w:customStyle="1" w:styleId="a6">
    <w:name w:val="Нижний колонтитул Знак"/>
    <w:basedOn w:val="a0"/>
    <w:link w:val="a5"/>
    <w:uiPriority w:val="99"/>
    <w:locked/>
    <w:rsid w:val="00D07EE8"/>
    <w:rPr>
      <w:rFonts w:cs="Times New Roman"/>
    </w:rPr>
  </w:style>
  <w:style w:type="paragraph" w:styleId="a7">
    <w:name w:val="Balloon Text"/>
    <w:basedOn w:val="a"/>
    <w:link w:val="a8"/>
    <w:uiPriority w:val="99"/>
    <w:semiHidden/>
    <w:unhideWhenUsed/>
    <w:rsid w:val="00057A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57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10993</Words>
  <Characters>62661</Characters>
  <Application>Microsoft Office Word</Application>
  <DocSecurity>0</DocSecurity>
  <Lines>522</Lines>
  <Paragraphs>147</Paragraphs>
  <ScaleCrop>false</ScaleCrop>
  <Company/>
  <LinksUpToDate>false</LinksUpToDate>
  <CharactersWithSpaces>73507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Васильевна</dc:creator>
  <cp:lastModifiedBy>сисадмин-нов</cp:lastModifiedBy>
  <cp:revision>2</cp:revision>
  <cp:lastPrinted>2022-09-23T07:54:00Z</cp:lastPrinted>
  <dcterms:created xsi:type="dcterms:W3CDTF">2023-10-24T09:22:00Z</dcterms:created>
  <dcterms:modified xsi:type="dcterms:W3CDTF">2023-10-24T09:22:00Z</dcterms:modified>
</cp:coreProperties>
</file>