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E5" w:rsidRPr="00D845E5" w:rsidRDefault="00D845E5" w:rsidP="00D845E5">
      <w:pPr>
        <w:widowControl w:val="0"/>
        <w:autoSpaceDE w:val="0"/>
        <w:autoSpaceDN w:val="0"/>
        <w:adjustRightInd w:val="0"/>
        <w:spacing w:after="0" w:line="240" w:lineRule="auto"/>
        <w:ind w:left="5529"/>
        <w:rPr>
          <w:rFonts w:ascii="Times New Roman CYR" w:hAnsi="Times New Roman CYR" w:cs="Times New Roman CYR"/>
          <w:bCs/>
          <w:sz w:val="28"/>
          <w:szCs w:val="28"/>
        </w:rPr>
      </w:pPr>
      <w:r w:rsidRPr="00D845E5">
        <w:rPr>
          <w:rFonts w:ascii="Times New Roman CYR" w:hAnsi="Times New Roman CYR" w:cs="Times New Roman CYR"/>
          <w:bCs/>
          <w:sz w:val="28"/>
          <w:szCs w:val="28"/>
        </w:rPr>
        <w:t>Приложение №2</w:t>
      </w:r>
    </w:p>
    <w:p w:rsidR="00D845E5" w:rsidRDefault="00D845E5" w:rsidP="00D845E5">
      <w:pPr>
        <w:widowControl w:val="0"/>
        <w:autoSpaceDE w:val="0"/>
        <w:autoSpaceDN w:val="0"/>
        <w:adjustRightInd w:val="0"/>
        <w:spacing w:after="0" w:line="240" w:lineRule="auto"/>
        <w:ind w:left="5529"/>
        <w:rPr>
          <w:rFonts w:ascii="Times New Roman CYR" w:hAnsi="Times New Roman CYR" w:cs="Times New Roman CYR"/>
          <w:bCs/>
          <w:sz w:val="28"/>
          <w:szCs w:val="28"/>
        </w:rPr>
      </w:pPr>
      <w:r>
        <w:rPr>
          <w:rFonts w:ascii="Times New Roman CYR" w:hAnsi="Times New Roman CYR" w:cs="Times New Roman CYR"/>
          <w:bCs/>
          <w:sz w:val="28"/>
          <w:szCs w:val="28"/>
        </w:rPr>
        <w:t>к</w:t>
      </w:r>
      <w:r w:rsidRPr="00D845E5">
        <w:rPr>
          <w:rFonts w:ascii="Times New Roman CYR" w:hAnsi="Times New Roman CYR" w:cs="Times New Roman CYR"/>
          <w:bCs/>
          <w:sz w:val="28"/>
          <w:szCs w:val="28"/>
        </w:rPr>
        <w:t xml:space="preserve"> письму администрации </w:t>
      </w:r>
    </w:p>
    <w:p w:rsidR="00D845E5" w:rsidRPr="00D845E5" w:rsidRDefault="00D845E5" w:rsidP="00D845E5">
      <w:pPr>
        <w:widowControl w:val="0"/>
        <w:autoSpaceDE w:val="0"/>
        <w:autoSpaceDN w:val="0"/>
        <w:adjustRightInd w:val="0"/>
        <w:spacing w:after="0" w:line="240" w:lineRule="auto"/>
        <w:ind w:left="5529"/>
        <w:rPr>
          <w:rFonts w:ascii="Times New Roman CYR" w:hAnsi="Times New Roman CYR" w:cs="Times New Roman CYR"/>
          <w:bCs/>
          <w:sz w:val="28"/>
          <w:szCs w:val="28"/>
        </w:rPr>
      </w:pPr>
      <w:r w:rsidRPr="00D845E5">
        <w:rPr>
          <w:rFonts w:ascii="Times New Roman CYR" w:hAnsi="Times New Roman CYR" w:cs="Times New Roman CYR"/>
          <w:bCs/>
          <w:sz w:val="28"/>
          <w:szCs w:val="28"/>
        </w:rPr>
        <w:t>Новоселовского района</w:t>
      </w:r>
    </w:p>
    <w:p w:rsidR="00D845E5" w:rsidRDefault="00D845E5" w:rsidP="00D845E5">
      <w:pPr>
        <w:widowControl w:val="0"/>
        <w:autoSpaceDE w:val="0"/>
        <w:autoSpaceDN w:val="0"/>
        <w:adjustRightInd w:val="0"/>
        <w:spacing w:after="0" w:line="240" w:lineRule="auto"/>
        <w:ind w:left="5529"/>
        <w:rPr>
          <w:rFonts w:ascii="Times New Roman CYR" w:hAnsi="Times New Roman CYR" w:cs="Times New Roman CYR"/>
          <w:bCs/>
          <w:sz w:val="28"/>
          <w:szCs w:val="28"/>
        </w:rPr>
      </w:pPr>
      <w:r>
        <w:rPr>
          <w:rFonts w:ascii="Times New Roman CYR" w:hAnsi="Times New Roman CYR" w:cs="Times New Roman CYR"/>
          <w:bCs/>
          <w:sz w:val="28"/>
          <w:szCs w:val="28"/>
        </w:rPr>
        <w:t>о</w:t>
      </w:r>
      <w:r w:rsidRPr="00D845E5">
        <w:rPr>
          <w:rFonts w:ascii="Times New Roman CYR" w:hAnsi="Times New Roman CYR" w:cs="Times New Roman CYR"/>
          <w:bCs/>
          <w:sz w:val="28"/>
          <w:szCs w:val="28"/>
        </w:rPr>
        <w:t xml:space="preserve">т </w:t>
      </w:r>
      <w:r>
        <w:rPr>
          <w:rFonts w:ascii="Times New Roman CYR" w:hAnsi="Times New Roman CYR" w:cs="Times New Roman CYR"/>
          <w:bCs/>
          <w:sz w:val="28"/>
          <w:szCs w:val="28"/>
        </w:rPr>
        <w:t>____</w:t>
      </w:r>
      <w:r w:rsidRPr="00D845E5">
        <w:rPr>
          <w:rFonts w:ascii="Times New Roman CYR" w:hAnsi="Times New Roman CYR" w:cs="Times New Roman CYR"/>
          <w:bCs/>
          <w:sz w:val="28"/>
          <w:szCs w:val="28"/>
        </w:rPr>
        <w:t xml:space="preserve"> апреля</w:t>
      </w:r>
      <w:r>
        <w:rPr>
          <w:rFonts w:ascii="Times New Roman CYR" w:hAnsi="Times New Roman CYR" w:cs="Times New Roman CYR"/>
          <w:bCs/>
          <w:sz w:val="28"/>
          <w:szCs w:val="28"/>
        </w:rPr>
        <w:t xml:space="preserve"> </w:t>
      </w:r>
      <w:r w:rsidRPr="00D845E5">
        <w:rPr>
          <w:rFonts w:ascii="Times New Roman CYR" w:hAnsi="Times New Roman CYR" w:cs="Times New Roman CYR"/>
          <w:bCs/>
          <w:sz w:val="28"/>
          <w:szCs w:val="28"/>
        </w:rPr>
        <w:t xml:space="preserve"> 2017 года №</w:t>
      </w:r>
      <w:r>
        <w:rPr>
          <w:rFonts w:ascii="Times New Roman CYR" w:hAnsi="Times New Roman CYR" w:cs="Times New Roman CYR"/>
          <w:bCs/>
          <w:sz w:val="28"/>
          <w:szCs w:val="28"/>
        </w:rPr>
        <w:t>_____</w:t>
      </w:r>
    </w:p>
    <w:p w:rsidR="00D845E5" w:rsidRDefault="00D845E5" w:rsidP="00D845E5">
      <w:pPr>
        <w:widowControl w:val="0"/>
        <w:autoSpaceDE w:val="0"/>
        <w:autoSpaceDN w:val="0"/>
        <w:adjustRightInd w:val="0"/>
        <w:spacing w:after="0" w:line="240" w:lineRule="auto"/>
        <w:ind w:left="5529"/>
        <w:rPr>
          <w:rFonts w:ascii="Times New Roman CYR" w:hAnsi="Times New Roman CYR" w:cs="Times New Roman CYR"/>
          <w:bCs/>
          <w:sz w:val="28"/>
          <w:szCs w:val="28"/>
        </w:rPr>
      </w:pPr>
    </w:p>
    <w:p w:rsidR="00D845E5" w:rsidRPr="00D845E5" w:rsidRDefault="00D845E5" w:rsidP="00D845E5">
      <w:pPr>
        <w:widowControl w:val="0"/>
        <w:autoSpaceDE w:val="0"/>
        <w:autoSpaceDN w:val="0"/>
        <w:adjustRightInd w:val="0"/>
        <w:spacing w:after="0" w:line="240" w:lineRule="auto"/>
        <w:ind w:left="5529"/>
        <w:rPr>
          <w:rFonts w:ascii="Times New Roman CYR" w:hAnsi="Times New Roman CYR" w:cs="Times New Roman CYR"/>
          <w:bCs/>
          <w:sz w:val="28"/>
          <w:szCs w:val="28"/>
        </w:rPr>
      </w:pPr>
    </w:p>
    <w:p w:rsidR="00D845E5" w:rsidRDefault="00D845E5" w:rsidP="00D845E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w:t>
      </w:r>
      <w:r>
        <w:rPr>
          <w:rFonts w:ascii="Times New Roman CYR" w:hAnsi="Times New Roman CYR" w:cs="Times New Roman CYR"/>
          <w:b/>
          <w:bCs/>
          <w:sz w:val="28"/>
          <w:szCs w:val="28"/>
        </w:rPr>
        <w:t>ояснительная записка к докладу Г</w:t>
      </w:r>
      <w:r>
        <w:rPr>
          <w:rFonts w:ascii="Times New Roman CYR" w:hAnsi="Times New Roman CYR" w:cs="Times New Roman CYR"/>
          <w:b/>
          <w:bCs/>
          <w:sz w:val="28"/>
          <w:szCs w:val="28"/>
        </w:rPr>
        <w:t xml:space="preserve">лавы </w:t>
      </w:r>
    </w:p>
    <w:p w:rsidR="00D845E5" w:rsidRDefault="00D845E5" w:rsidP="00D845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b/>
          <w:bCs/>
          <w:sz w:val="28"/>
          <w:szCs w:val="28"/>
        </w:rPr>
        <w:t>Новоселовского района</w:t>
      </w:r>
    </w:p>
    <w:p w:rsidR="00D845E5" w:rsidRDefault="00D845E5" w:rsidP="00D845E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городского округа (муниципального района)</w:t>
      </w:r>
    </w:p>
    <w:p w:rsidR="00D845E5" w:rsidRDefault="00D845E5" w:rsidP="00D845E5">
      <w:pPr>
        <w:autoSpaceDE w:val="0"/>
        <w:autoSpaceDN w:val="0"/>
        <w:adjustRightInd w:val="0"/>
        <w:spacing w:after="16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достигнутых значениях показателей для оценки </w:t>
      </w:r>
      <w:proofErr w:type="gramStart"/>
      <w:r>
        <w:rPr>
          <w:rFonts w:ascii="Times New Roman CYR" w:hAnsi="Times New Roman CYR" w:cs="Times New Roman CYR"/>
          <w:b/>
          <w:bCs/>
          <w:sz w:val="28"/>
          <w:szCs w:val="28"/>
        </w:rPr>
        <w:t xml:space="preserve">эффективности деятельности органов местного самоуправления </w:t>
      </w:r>
      <w:r>
        <w:rPr>
          <w:rFonts w:ascii="Times New Roman CYR" w:hAnsi="Times New Roman CYR" w:cs="Times New Roman CYR"/>
          <w:b/>
          <w:bCs/>
          <w:sz w:val="28"/>
          <w:szCs w:val="28"/>
        </w:rPr>
        <w:br/>
        <w:t>городских округов</w:t>
      </w:r>
      <w:proofErr w:type="gramEnd"/>
      <w:r>
        <w:rPr>
          <w:rFonts w:ascii="Times New Roman CYR" w:hAnsi="Times New Roman CYR" w:cs="Times New Roman CYR"/>
          <w:b/>
          <w:bCs/>
          <w:sz w:val="28"/>
          <w:szCs w:val="28"/>
        </w:rPr>
        <w:t xml:space="preserve"> и муниципальных районов </w:t>
      </w:r>
      <w:r>
        <w:rPr>
          <w:rFonts w:ascii="Times New Roman CYR" w:hAnsi="Times New Roman CYR" w:cs="Times New Roman CYR"/>
          <w:b/>
          <w:bCs/>
          <w:sz w:val="28"/>
          <w:szCs w:val="28"/>
        </w:rPr>
        <w:br/>
        <w:t xml:space="preserve">за </w:t>
      </w:r>
      <w:r>
        <w:rPr>
          <w:rFonts w:ascii="Times New Roman CYR" w:hAnsi="Times New Roman CYR" w:cs="Times New Roman CYR"/>
          <w:b/>
          <w:bCs/>
          <w:sz w:val="28"/>
          <w:szCs w:val="28"/>
        </w:rPr>
        <w:t xml:space="preserve">2016 </w:t>
      </w:r>
      <w:r>
        <w:rPr>
          <w:rFonts w:ascii="Times New Roman CYR" w:hAnsi="Times New Roman CYR" w:cs="Times New Roman CYR"/>
          <w:b/>
          <w:bCs/>
          <w:sz w:val="28"/>
          <w:szCs w:val="28"/>
        </w:rPr>
        <w:t>год и их планируемых значениях на 3-летний период</w:t>
      </w:r>
    </w:p>
    <w:p w:rsidR="00D845E5" w:rsidRDefault="00D845E5" w:rsidP="00D845E5">
      <w:pPr>
        <w:autoSpaceDE w:val="0"/>
        <w:autoSpaceDN w:val="0"/>
        <w:adjustRightInd w:val="0"/>
        <w:spacing w:after="0" w:line="240" w:lineRule="auto"/>
        <w:rPr>
          <w:rFonts w:ascii="Arial" w:hAnsi="Arial" w:cs="Arial"/>
          <w:sz w:val="20"/>
          <w:szCs w:val="20"/>
        </w:rPr>
      </w:pPr>
    </w:p>
    <w:p w:rsidR="00D845E5" w:rsidRDefault="00D845E5" w:rsidP="00D845E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 </w:t>
      </w:r>
      <w:r>
        <w:rPr>
          <w:rFonts w:ascii="Times New Roman CYR" w:hAnsi="Times New Roman CYR" w:cs="Times New Roman CYR"/>
          <w:b/>
          <w:bCs/>
          <w:color w:val="000000"/>
          <w:sz w:val="28"/>
          <w:szCs w:val="28"/>
        </w:rPr>
        <w:t xml:space="preserve">Экономическое развитие </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 </w:t>
      </w:r>
      <w:r>
        <w:rPr>
          <w:rFonts w:ascii="Times New Roman CYR" w:hAnsi="Times New Roman CYR" w:cs="Times New Roman CYR"/>
          <w:b/>
          <w:bCs/>
          <w:color w:val="000000"/>
          <w:sz w:val="28"/>
          <w:szCs w:val="28"/>
        </w:rPr>
        <w:t>Число субъектов малого и среднего предпринимательства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районе зарегистрировано 349 субъектов малого и среднего предпринимательства, в том числе:</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- 19 малых предприятий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- 317 </w:t>
      </w:r>
      <w:proofErr w:type="gramStart"/>
      <w:r>
        <w:rPr>
          <w:rFonts w:ascii="Times New Roman CYR" w:hAnsi="Times New Roman CYR" w:cs="Times New Roman CYR"/>
          <w:sz w:val="28"/>
          <w:szCs w:val="28"/>
        </w:rPr>
        <w:t>индивидуальных</w:t>
      </w:r>
      <w:proofErr w:type="gramEnd"/>
      <w:r>
        <w:rPr>
          <w:rFonts w:ascii="Times New Roman CYR" w:hAnsi="Times New Roman CYR" w:cs="Times New Roman CYR"/>
          <w:sz w:val="28"/>
          <w:szCs w:val="28"/>
        </w:rPr>
        <w:t xml:space="preserve"> предпринимателя, в том числе 74 КФХ</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Численность занятых в малом бизнесе на протяжении более 5  лет составляет 1,1 тысяч человек. В данном секторе экономики занят каждый пятый от численности </w:t>
      </w:r>
      <w:proofErr w:type="gramStart"/>
      <w:r>
        <w:rPr>
          <w:rFonts w:ascii="Times New Roman CYR" w:hAnsi="Times New Roman CYR" w:cs="Times New Roman CYR"/>
          <w:sz w:val="28"/>
          <w:szCs w:val="28"/>
        </w:rPr>
        <w:t>занятых</w:t>
      </w:r>
      <w:proofErr w:type="gramEnd"/>
      <w:r>
        <w:rPr>
          <w:rFonts w:ascii="Times New Roman CYR" w:hAnsi="Times New Roman CYR" w:cs="Times New Roman CYR"/>
          <w:sz w:val="28"/>
          <w:szCs w:val="28"/>
        </w:rPr>
        <w:t xml:space="preserve"> в экономике. Число субъектов малого и среднего предпринимательства на 10000 человек населения в 2015 составило 263,1 ед., а в 2016 году 255 ед. Уменьшение этого  показателя произошло за счет уменьшения численности индивидуальных предпринимателей на 14 человек.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Для поддержки субъектов малого предпринимательства  в Новоселовском районе действовала  муниципальная  программа «Поддержка субъектов  малого и среднего предпринимательства в Новоселовском районе» на 2016-2018 годы.</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Фактического объёма финансирования на поддержку малого и среднего предпринимательства в </w:t>
      </w:r>
      <w:proofErr w:type="spellStart"/>
      <w:r>
        <w:rPr>
          <w:rFonts w:ascii="Times New Roman CYR" w:hAnsi="Times New Roman CYR" w:cs="Times New Roman CYR"/>
          <w:sz w:val="28"/>
          <w:szCs w:val="28"/>
        </w:rPr>
        <w:t>Новосёловском</w:t>
      </w:r>
      <w:proofErr w:type="spellEnd"/>
      <w:r>
        <w:rPr>
          <w:rFonts w:ascii="Times New Roman CYR" w:hAnsi="Times New Roman CYR" w:cs="Times New Roman CYR"/>
          <w:sz w:val="28"/>
          <w:szCs w:val="28"/>
        </w:rPr>
        <w:t xml:space="preserve"> районе в 2016 году не было, в связи с отсутствием заявителей.</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среднесписочной численности работников малых и средних предприятий в среднесписочной численности </w:t>
      </w:r>
      <w:r w:rsidRPr="00093F2E">
        <w:rPr>
          <w:rFonts w:ascii="Times New Roman CYR" w:hAnsi="Times New Roman CYR" w:cs="Times New Roman CYR"/>
          <w:sz w:val="28"/>
          <w:szCs w:val="28"/>
        </w:rPr>
        <w:t xml:space="preserve">работников всех предприятий и организаций в 2016 году составила 29,25 %.    Снижение показателя по </w:t>
      </w:r>
      <w:r w:rsidRPr="00093F2E">
        <w:rPr>
          <w:rFonts w:ascii="Times New Roman CYR" w:hAnsi="Times New Roman CYR" w:cs="Times New Roman CYR"/>
          <w:sz w:val="28"/>
          <w:szCs w:val="28"/>
        </w:rPr>
        <w:lastRenderedPageBreak/>
        <w:t>сравнению с 2014 годом  связано со снижением числа индивидуальных</w:t>
      </w:r>
      <w:r>
        <w:rPr>
          <w:rFonts w:ascii="Times New Roman CYR" w:hAnsi="Times New Roman CYR" w:cs="Times New Roman CYR"/>
          <w:sz w:val="28"/>
          <w:szCs w:val="28"/>
        </w:rPr>
        <w:t xml:space="preserve"> предпринимателей и численностью работников малых предприятий.  В перспективе до 2019 года планируется незначительный рост показателя.</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D845E5" w:rsidRDefault="00D845E5" w:rsidP="00093F2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объем инвестиций в основной капитал – всего, составил 326610 тыс. рублей и уменьшился  к уровню 2015 года  на 20,63% (84872тыс. рублей). </w:t>
      </w:r>
      <w:proofErr w:type="gramStart"/>
      <w:r>
        <w:rPr>
          <w:rFonts w:ascii="Times New Roman CYR" w:hAnsi="Times New Roman CYR" w:cs="Times New Roman CYR"/>
          <w:sz w:val="28"/>
          <w:szCs w:val="28"/>
        </w:rPr>
        <w:t xml:space="preserve">Данное уменьшение  обусловлено тем, что в 2015 году в общий объем инвестиций были включены инвестиции за счет средств бюджета по строительству  детского сада в с. </w:t>
      </w:r>
      <w:proofErr w:type="spellStart"/>
      <w:r>
        <w:rPr>
          <w:rFonts w:ascii="Times New Roman CYR" w:hAnsi="Times New Roman CYR" w:cs="Times New Roman CYR"/>
          <w:sz w:val="28"/>
          <w:szCs w:val="28"/>
        </w:rPr>
        <w:t>Светлолобово</w:t>
      </w:r>
      <w:proofErr w:type="spellEnd"/>
      <w:r>
        <w:rPr>
          <w:rFonts w:ascii="Times New Roman CYR" w:hAnsi="Times New Roman CYR" w:cs="Times New Roman CYR"/>
          <w:sz w:val="28"/>
          <w:szCs w:val="28"/>
        </w:rPr>
        <w:t xml:space="preserve"> на 95 мест на сумму 56269 тыс. рублей и за счет внебюджетных источников был  введен в эксплуатацию молочный комплекс в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на сумму более 150 млн. рублей.</w:t>
      </w:r>
      <w:proofErr w:type="gramEnd"/>
    </w:p>
    <w:p w:rsidR="00D845E5" w:rsidRDefault="00D845E5" w:rsidP="00093F2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Объём инвестиций в основной капитал за счет средств бюджетов всех уровней в 2016 году уменьшился  к уровню 2015 года на 46,73 (61602 тыс. рублей)  и составил 70212 тыс. рублей (причина указана выше). </w:t>
      </w:r>
    </w:p>
    <w:p w:rsidR="00D845E5" w:rsidRDefault="00D845E5" w:rsidP="00093F2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на сегодняшний день реализация крупных инвестиционных проектов не планируется, то инвестиции в основной капитал на 2017 - 2019 годы планируются с ростом на индекс дефлятор и составят 341634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357008 </w:t>
      </w:r>
      <w:proofErr w:type="spellStart"/>
      <w:r>
        <w:rPr>
          <w:rFonts w:ascii="Times New Roman CYR" w:hAnsi="Times New Roman CYR" w:cs="Times New Roman CYR"/>
          <w:sz w:val="28"/>
          <w:szCs w:val="28"/>
        </w:rPr>
        <w:t>тыс.руб</w:t>
      </w:r>
      <w:proofErr w:type="spellEnd"/>
      <w:r>
        <w:rPr>
          <w:rFonts w:ascii="Times New Roman CYR" w:hAnsi="Times New Roman CYR" w:cs="Times New Roman CYR"/>
          <w:sz w:val="28"/>
          <w:szCs w:val="28"/>
        </w:rPr>
        <w:t xml:space="preserve">.; 372002 </w:t>
      </w:r>
      <w:proofErr w:type="spellStart"/>
      <w:r>
        <w:rPr>
          <w:rFonts w:ascii="Times New Roman CYR" w:hAnsi="Times New Roman CYR" w:cs="Times New Roman CYR"/>
          <w:sz w:val="28"/>
          <w:szCs w:val="28"/>
        </w:rPr>
        <w:t>тыс.руб</w:t>
      </w:r>
      <w:proofErr w:type="spellEnd"/>
      <w:r>
        <w:rPr>
          <w:rFonts w:ascii="Times New Roman CYR" w:hAnsi="Times New Roman CYR" w:cs="Times New Roman CYR"/>
          <w:sz w:val="28"/>
          <w:szCs w:val="28"/>
        </w:rPr>
        <w:t>. соответственно.</w:t>
      </w:r>
    </w:p>
    <w:p w:rsidR="00D845E5" w:rsidRDefault="00D845E5" w:rsidP="00093F2E">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2016 году объем инвестиций (без бюджетных средств) на 1 жителя,   составил 19455 рублей, что ниже показателя прошлого года на 7,7% (1628,2 рублей). В 2017 году и на период до 2019 года данный показатель планируется с незначительным ростом и составит 21540 рублей; 22597 рублей; 23628 рубль  соответственно.</w:t>
      </w:r>
    </w:p>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3"/>
        <w:gridCol w:w="1456"/>
        <w:gridCol w:w="1605"/>
        <w:gridCol w:w="1749"/>
        <w:gridCol w:w="1747"/>
      </w:tblGrid>
      <w:tr w:rsidR="00D845E5">
        <w:tblPrEx>
          <w:tblCellMar>
            <w:top w:w="0" w:type="dxa"/>
            <w:bottom w:w="0" w:type="dxa"/>
          </w:tblCellMar>
        </w:tblPrEx>
        <w:trPr>
          <w:trHeight w:val="365"/>
        </w:trPr>
        <w:tc>
          <w:tcPr>
            <w:tcW w:w="3613" w:type="dxa"/>
            <w:vMerge w:val="restart"/>
            <w:tcBorders>
              <w:top w:val="single" w:sz="4" w:space="0" w:color="auto"/>
              <w:bottom w:val="nil"/>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Наименование показателя</w:t>
            </w:r>
          </w:p>
        </w:tc>
        <w:tc>
          <w:tcPr>
            <w:tcW w:w="6557" w:type="dxa"/>
            <w:gridSpan w:val="4"/>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Значения показателя</w:t>
            </w:r>
          </w:p>
        </w:tc>
      </w:tr>
      <w:tr w:rsidR="00D845E5">
        <w:tblPrEx>
          <w:tblCellMar>
            <w:top w:w="0" w:type="dxa"/>
            <w:bottom w:w="0" w:type="dxa"/>
          </w:tblCellMar>
        </w:tblPrEx>
        <w:tc>
          <w:tcPr>
            <w:tcW w:w="3613" w:type="dxa"/>
            <w:vMerge/>
            <w:tcBorders>
              <w:top w:val="nil"/>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2016 факт</w:t>
            </w:r>
          </w:p>
        </w:tc>
        <w:tc>
          <w:tcPr>
            <w:tcW w:w="1605"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2017 оценка</w:t>
            </w:r>
          </w:p>
        </w:tc>
        <w:tc>
          <w:tcPr>
            <w:tcW w:w="174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2018 прогноз</w:t>
            </w:r>
          </w:p>
        </w:tc>
        <w:tc>
          <w:tcPr>
            <w:tcW w:w="1747"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2019 прогноз</w:t>
            </w:r>
          </w:p>
        </w:tc>
      </w:tr>
      <w:tr w:rsidR="00D845E5">
        <w:tblPrEx>
          <w:tblCellMar>
            <w:top w:w="0" w:type="dxa"/>
            <w:bottom w:w="0" w:type="dxa"/>
          </w:tblCellMar>
        </w:tblPrEx>
        <w:tc>
          <w:tcPr>
            <w:tcW w:w="3613"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1. Объем инвестиций в основной капитал за счет всех источников финансирования (без субъектов малого предпринимательства),</w:t>
            </w:r>
            <w:r>
              <w:rPr>
                <w:rFonts w:ascii="Times New Roman CYR" w:hAnsi="Times New Roman CYR" w:cs="Times New Roman CYR"/>
                <w:sz w:val="24"/>
                <w:szCs w:val="24"/>
              </w:rPr>
              <w:br/>
              <w:t>тыс. руб.</w:t>
            </w:r>
          </w:p>
        </w:tc>
        <w:tc>
          <w:tcPr>
            <w:tcW w:w="14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326610</w:t>
            </w:r>
          </w:p>
        </w:tc>
        <w:tc>
          <w:tcPr>
            <w:tcW w:w="1605"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341634</w:t>
            </w:r>
          </w:p>
        </w:tc>
        <w:tc>
          <w:tcPr>
            <w:tcW w:w="174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357008</w:t>
            </w:r>
          </w:p>
        </w:tc>
        <w:tc>
          <w:tcPr>
            <w:tcW w:w="1747"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372002</w:t>
            </w:r>
          </w:p>
        </w:tc>
      </w:tr>
      <w:tr w:rsidR="00D845E5">
        <w:tblPrEx>
          <w:tblCellMar>
            <w:top w:w="0" w:type="dxa"/>
            <w:bottom w:w="0" w:type="dxa"/>
          </w:tblCellMar>
        </w:tblPrEx>
        <w:tc>
          <w:tcPr>
            <w:tcW w:w="3613"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2. Инвестиции в основной капитал за счет бюджетных средств, тыс. руб.</w:t>
            </w:r>
          </w:p>
        </w:tc>
        <w:tc>
          <w:tcPr>
            <w:tcW w:w="14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70212</w:t>
            </w:r>
          </w:p>
        </w:tc>
        <w:tc>
          <w:tcPr>
            <w:tcW w:w="1605"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60000</w:t>
            </w:r>
          </w:p>
        </w:tc>
        <w:tc>
          <w:tcPr>
            <w:tcW w:w="174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62700</w:t>
            </w:r>
          </w:p>
        </w:tc>
        <w:tc>
          <w:tcPr>
            <w:tcW w:w="1747"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65333</w:t>
            </w:r>
          </w:p>
        </w:tc>
      </w:tr>
      <w:tr w:rsidR="00D845E5">
        <w:tblPrEx>
          <w:tblCellMar>
            <w:top w:w="0" w:type="dxa"/>
            <w:bottom w:w="0" w:type="dxa"/>
          </w:tblCellMar>
        </w:tblPrEx>
        <w:tc>
          <w:tcPr>
            <w:tcW w:w="3613"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3. Объем инвестиций без бюджетных средств, тыс. руб.</w:t>
            </w:r>
          </w:p>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(стр. 1 – стр. 2)</w:t>
            </w:r>
          </w:p>
        </w:tc>
        <w:tc>
          <w:tcPr>
            <w:tcW w:w="14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256398</w:t>
            </w:r>
          </w:p>
        </w:tc>
        <w:tc>
          <w:tcPr>
            <w:tcW w:w="1605"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281634</w:t>
            </w:r>
          </w:p>
        </w:tc>
        <w:tc>
          <w:tcPr>
            <w:tcW w:w="174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294308</w:t>
            </w:r>
          </w:p>
        </w:tc>
        <w:tc>
          <w:tcPr>
            <w:tcW w:w="1747"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306669</w:t>
            </w:r>
          </w:p>
        </w:tc>
      </w:tr>
      <w:tr w:rsidR="00D845E5">
        <w:tblPrEx>
          <w:tblCellMar>
            <w:top w:w="0" w:type="dxa"/>
            <w:bottom w:w="0" w:type="dxa"/>
          </w:tblCellMar>
        </w:tblPrEx>
        <w:tc>
          <w:tcPr>
            <w:tcW w:w="3613"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4. Среднегодовая численность населения, чел.</w:t>
            </w:r>
          </w:p>
        </w:tc>
        <w:tc>
          <w:tcPr>
            <w:tcW w:w="14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13179</w:t>
            </w:r>
          </w:p>
        </w:tc>
        <w:tc>
          <w:tcPr>
            <w:tcW w:w="1605"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13075</w:t>
            </w:r>
          </w:p>
        </w:tc>
        <w:tc>
          <w:tcPr>
            <w:tcW w:w="174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13024</w:t>
            </w:r>
          </w:p>
        </w:tc>
        <w:tc>
          <w:tcPr>
            <w:tcW w:w="1747"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12979</w:t>
            </w:r>
          </w:p>
        </w:tc>
      </w:tr>
      <w:tr w:rsidR="00D845E5">
        <w:tblPrEx>
          <w:tblCellMar>
            <w:top w:w="0" w:type="dxa"/>
            <w:bottom w:w="0" w:type="dxa"/>
          </w:tblCellMar>
        </w:tblPrEx>
        <w:tc>
          <w:tcPr>
            <w:tcW w:w="3613"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highlight w:val="yellow"/>
              </w:rPr>
            </w:pPr>
          </w:p>
        </w:tc>
        <w:tc>
          <w:tcPr>
            <w:tcW w:w="14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highlight w:val="yellow"/>
              </w:rPr>
            </w:pPr>
          </w:p>
        </w:tc>
        <w:tc>
          <w:tcPr>
            <w:tcW w:w="174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p>
        </w:tc>
        <w:tc>
          <w:tcPr>
            <w:tcW w:w="1747"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p>
        </w:tc>
      </w:tr>
      <w:tr w:rsidR="00D845E5">
        <w:tblPrEx>
          <w:tblCellMar>
            <w:top w:w="0" w:type="dxa"/>
            <w:bottom w:w="0" w:type="dxa"/>
          </w:tblCellMar>
        </w:tblPrEx>
        <w:tc>
          <w:tcPr>
            <w:tcW w:w="3613"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Объем инвестиций в основной капитал (за исключением бюджетных средств) в расчете </w:t>
            </w:r>
            <w:r>
              <w:rPr>
                <w:rFonts w:ascii="Times New Roman CYR" w:hAnsi="Times New Roman CYR" w:cs="Times New Roman CYR"/>
                <w:sz w:val="24"/>
                <w:szCs w:val="24"/>
              </w:rPr>
              <w:lastRenderedPageBreak/>
              <w:t>на 1 человека населения, руб.</w:t>
            </w:r>
          </w:p>
          <w:p w:rsidR="00D845E5" w:rsidRDefault="00D845E5" w:rsidP="00093F2E">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(стр. 3/стр. 4*1000)</w:t>
            </w:r>
          </w:p>
        </w:tc>
        <w:tc>
          <w:tcPr>
            <w:tcW w:w="14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19455</w:t>
            </w:r>
          </w:p>
        </w:tc>
        <w:tc>
          <w:tcPr>
            <w:tcW w:w="1605"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21540</w:t>
            </w:r>
          </w:p>
        </w:tc>
        <w:tc>
          <w:tcPr>
            <w:tcW w:w="174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22597</w:t>
            </w:r>
          </w:p>
        </w:tc>
        <w:tc>
          <w:tcPr>
            <w:tcW w:w="1747"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23628</w:t>
            </w:r>
          </w:p>
        </w:tc>
      </w:tr>
    </w:tbl>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D845E5" w:rsidRDefault="00D845E5" w:rsidP="00093F2E">
      <w:pPr>
        <w:autoSpaceDE w:val="0"/>
        <w:autoSpaceDN w:val="0"/>
        <w:adjustRightInd w:val="0"/>
        <w:spacing w:after="0" w:line="240" w:lineRule="auto"/>
        <w:jc w:val="both"/>
        <w:rPr>
          <w:rFonts w:ascii="Arial CYR" w:hAnsi="Arial CYR" w:cs="Arial CYR"/>
          <w:sz w:val="20"/>
          <w:szCs w:val="20"/>
        </w:rPr>
      </w:pPr>
      <w:r>
        <w:rPr>
          <w:rFonts w:ascii="Times New Roman CYR" w:hAnsi="Times New Roman CYR" w:cs="Times New Roman CYR"/>
          <w:sz w:val="28"/>
          <w:szCs w:val="28"/>
        </w:rPr>
        <w:tab/>
        <w:t>Доля площади земельных участков, являющихся объектами налогообложения земельным налогом, в общей площади территории  района в 2016 году увеличилась на 2,67%  и составила 49,1%, изменение показателя за счёт увеличения количества земельных участков приобретаемых гражданами в собственность за плату. До 2019 года планируется незначительное увеличение данного показателя, что составит</w:t>
      </w:r>
      <w:r w:rsidR="0064587D">
        <w:rPr>
          <w:rFonts w:ascii="Times New Roman CYR" w:hAnsi="Times New Roman CYR" w:cs="Times New Roman CYR"/>
          <w:sz w:val="28"/>
          <w:szCs w:val="28"/>
        </w:rPr>
        <w:t xml:space="preserve">: </w:t>
      </w:r>
      <w:r>
        <w:rPr>
          <w:rFonts w:ascii="Times New Roman CYR" w:hAnsi="Times New Roman CYR" w:cs="Times New Roman CYR"/>
          <w:sz w:val="28"/>
          <w:szCs w:val="28"/>
        </w:rPr>
        <w:t>2017г.- 50,7%; 2018г. – 51,7%; 2019г. – 52,7%.</w:t>
      </w:r>
      <w:r>
        <w:rPr>
          <w:rFonts w:ascii="Arial CYR" w:hAnsi="Arial CYR" w:cs="Arial CYR"/>
          <w:sz w:val="20"/>
          <w:szCs w:val="20"/>
        </w:rPr>
        <w:t xml:space="preserve">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 xml:space="preserve">Доля прибыльных сельскохозяйственных </w:t>
      </w:r>
      <w:proofErr w:type="gramStart"/>
      <w:r>
        <w:rPr>
          <w:rFonts w:ascii="Times New Roman CYR" w:hAnsi="Times New Roman CYR" w:cs="Times New Roman CYR"/>
          <w:b/>
          <w:bCs/>
          <w:color w:val="000000"/>
          <w:sz w:val="28"/>
          <w:szCs w:val="28"/>
        </w:rPr>
        <w:t>организаций</w:t>
      </w:r>
      <w:proofErr w:type="gramEnd"/>
      <w:r>
        <w:rPr>
          <w:rFonts w:ascii="Times New Roman CYR" w:hAnsi="Times New Roman CYR" w:cs="Times New Roman CYR"/>
          <w:b/>
          <w:bCs/>
          <w:color w:val="000000"/>
          <w:sz w:val="28"/>
          <w:szCs w:val="28"/>
        </w:rPr>
        <w:t xml:space="preserve"> в общем их числе</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 Девять сельскохозяйственных предприятий по итогам года являются прибыльными, ЗАО «Новоселовское» получило убыток в сумме 12723 тыс. рублей.</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2016 году осуществляли производственную деятельность на территории района </w:t>
      </w:r>
      <w:r w:rsidR="0064587D">
        <w:rPr>
          <w:rFonts w:ascii="Times New Roman CYR" w:hAnsi="Times New Roman CYR" w:cs="Times New Roman CYR"/>
          <w:sz w:val="28"/>
          <w:szCs w:val="28"/>
        </w:rPr>
        <w:t xml:space="preserve">74 КФХ, в том числе </w:t>
      </w:r>
      <w:r>
        <w:rPr>
          <w:rFonts w:ascii="Times New Roman CYR" w:hAnsi="Times New Roman CYR" w:cs="Times New Roman CYR"/>
          <w:sz w:val="28"/>
          <w:szCs w:val="28"/>
        </w:rPr>
        <w:t>58 крестьянских (фермерских) хозяй</w:t>
      </w:r>
      <w:proofErr w:type="gramStart"/>
      <w:r>
        <w:rPr>
          <w:rFonts w:ascii="Times New Roman CYR" w:hAnsi="Times New Roman CYR" w:cs="Times New Roman CYR"/>
          <w:sz w:val="28"/>
          <w:szCs w:val="28"/>
        </w:rPr>
        <w:t>ств</w:t>
      </w:r>
      <w:r w:rsidR="0064587D">
        <w:rPr>
          <w:rFonts w:ascii="Times New Roman CYR" w:hAnsi="Times New Roman CYR" w:cs="Times New Roman CYR"/>
          <w:sz w:val="28"/>
          <w:szCs w:val="28"/>
        </w:rPr>
        <w:t xml:space="preserve"> вх</w:t>
      </w:r>
      <w:proofErr w:type="gramEnd"/>
      <w:r w:rsidR="0064587D">
        <w:rPr>
          <w:rFonts w:ascii="Times New Roman CYR" w:hAnsi="Times New Roman CYR" w:cs="Times New Roman CYR"/>
          <w:sz w:val="28"/>
          <w:szCs w:val="28"/>
        </w:rPr>
        <w:t>одят в реестр АПК Красноярского края.</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 xml:space="preserve">В целом по результатам производственно-финансовой деятельности сельскохозяйственных организаций выручка от реализации         сельскохозяйственной продукции за 2016  год по отношению к предыдущему году увеличилась на 2,1% и составила 951755 тыс. рублей, в том числе от реализации продукции растениеводства – 485805 тыс. рублей, (к 2015 году увеличение на 1,7%) продукции животноводства – 376539 тыс. рублей (к 2015 году снижение составило 1,4%). </w:t>
      </w:r>
      <w:proofErr w:type="gramEnd"/>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 результатам деятельности КФХ выручка от реализации сельскохозяйственной продукции, в основном зерна составила 170706 тыс. руб. что на 8,8% выше, чем в 2015 году (156949 тыс. руб.).</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сельскохозяйственных организациях прибыль, полученная до налогообложения, составила 258123 тысячи рублей (2015г – 286780 тыс. руб.), чистая прибыль 250872 тыс. рублей (2015г – 281399 тыс. руб.) </w:t>
      </w:r>
      <w:r>
        <w:rPr>
          <w:rFonts w:ascii="Times New Roman CYR" w:hAnsi="Times New Roman CYR" w:cs="Times New Roman CYR"/>
          <w:sz w:val="28"/>
          <w:szCs w:val="28"/>
        </w:rPr>
        <w:tab/>
        <w:t>Государственная поддержка сельскохозяйственным организациям в 2016 году из средств бюджетов всех уровней составила 140439 тысяч рублей,</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крестьянским (фермерским) хозяйствам – 34659 тыс. рублей.</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Уровень рентабельности с субсидиями составил 30,2 % (в 2015г – 39,8%), без субсидий – 12,4% (в 2015г – 23%).</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t xml:space="preserve">На снижение размера чистой прибыли повлияло списание дебиторской, задолженности по которым истек срок исковой давности 879 тыс. рублей, убытки прошлых лет, выявленные в отчетном году – 6333 тыс. рублей; </w:t>
      </w:r>
      <w:proofErr w:type="gramStart"/>
      <w:r>
        <w:rPr>
          <w:rFonts w:ascii="Times New Roman CYR" w:hAnsi="Times New Roman CYR" w:cs="Times New Roman CYR"/>
          <w:sz w:val="28"/>
          <w:szCs w:val="28"/>
        </w:rPr>
        <w:t>расходы</w:t>
      </w:r>
      <w:proofErr w:type="gramEnd"/>
      <w:r>
        <w:rPr>
          <w:rFonts w:ascii="Times New Roman CYR" w:hAnsi="Times New Roman CYR" w:cs="Times New Roman CYR"/>
          <w:sz w:val="28"/>
          <w:szCs w:val="28"/>
        </w:rPr>
        <w:t xml:space="preserve"> связанные с благотворительной деятельностью – 4521 тыс. руб.; расходы на осуществление спортивных мероприятий, выплата премий, материальной помощи работникам предприятий в сумме 14770 тысяч рублей.</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Дебиторская задолженность за сельскохозяйственную продукцию на 01.01.2017г составила – 46808 тыс. руб.</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Общая</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закредитованность</w:t>
      </w:r>
      <w:proofErr w:type="spellEnd"/>
      <w:r>
        <w:rPr>
          <w:rFonts w:ascii="Times New Roman CYR" w:hAnsi="Times New Roman CYR" w:cs="Times New Roman CYR"/>
          <w:sz w:val="28"/>
          <w:szCs w:val="28"/>
        </w:rPr>
        <w:t xml:space="preserve"> сельскохозяйственных предприятий от выручки реализованной продукции 22,3 % (2015г – 27%).</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Восемь сельскохозяйственных предприятий, являются плательщиками ЕСХН. В 2016 году уплачено ЕСХН 17377 тысяч рублей.</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Среднегодовая численность работников составила 670 человек (2015г – 664 чел.), в том числе занятых в сельскохозяйственном производстве 612 человек (2015г – 625чел.).</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Среднемесячная заработная плата всех работников 19615 рублей, занятых в сельскохозяйственном производстве 16465 рубля, темп роста к уровню 2015 года 20,95% и 21,71% соответственно.</w:t>
      </w: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Растениеводство</w:t>
      </w: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году площадь сельскохозяйственных угодий используемых сельскохозяйственными предприятиями составила 69022 га.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Посевы сельскохозяйственных культур хозяй</w:t>
      </w:r>
      <w:proofErr w:type="gramStart"/>
      <w:r>
        <w:rPr>
          <w:rFonts w:ascii="Times New Roman CYR" w:hAnsi="Times New Roman CYR" w:cs="Times New Roman CYR"/>
          <w:sz w:val="28"/>
          <w:szCs w:val="28"/>
        </w:rPr>
        <w:t>ств вс</w:t>
      </w:r>
      <w:proofErr w:type="gramEnd"/>
      <w:r>
        <w:rPr>
          <w:rFonts w:ascii="Times New Roman CYR" w:hAnsi="Times New Roman CYR" w:cs="Times New Roman CYR"/>
          <w:sz w:val="28"/>
          <w:szCs w:val="28"/>
        </w:rPr>
        <w:t xml:space="preserve">ех категорий размещены на площади 68250 га, (в 2015г – 67867 га) из них под зерновыми и зернобобовыми культурами было занято 57839га. (в 2015г – 57575га.).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 xml:space="preserve">Урожайность зерновых культур с убранной площади в организациях, включенных в отчет составила 25,8 </w:t>
      </w:r>
      <w:proofErr w:type="spellStart"/>
      <w:r>
        <w:rPr>
          <w:rFonts w:ascii="Times New Roman CYR" w:hAnsi="Times New Roman CYR" w:cs="Times New Roman CYR"/>
          <w:sz w:val="28"/>
          <w:szCs w:val="28"/>
        </w:rPr>
        <w:t>цн</w:t>
      </w:r>
      <w:proofErr w:type="spellEnd"/>
      <w:r>
        <w:rPr>
          <w:rFonts w:ascii="Times New Roman CYR" w:hAnsi="Times New Roman CYR" w:cs="Times New Roman CYR"/>
          <w:sz w:val="28"/>
          <w:szCs w:val="28"/>
        </w:rPr>
        <w:t xml:space="preserve">/га (в 2014 году – 27,3 </w:t>
      </w:r>
      <w:proofErr w:type="spellStart"/>
      <w:r>
        <w:rPr>
          <w:rFonts w:ascii="Times New Roman CYR" w:hAnsi="Times New Roman CYR" w:cs="Times New Roman CYR"/>
          <w:sz w:val="28"/>
          <w:szCs w:val="28"/>
        </w:rPr>
        <w:t>цн</w:t>
      </w:r>
      <w:proofErr w:type="spellEnd"/>
      <w:r>
        <w:rPr>
          <w:rFonts w:ascii="Times New Roman CYR" w:hAnsi="Times New Roman CYR" w:cs="Times New Roman CYR"/>
          <w:sz w:val="28"/>
          <w:szCs w:val="28"/>
        </w:rPr>
        <w:t>/га)</w:t>
      </w:r>
      <w:r>
        <w:rPr>
          <w:rFonts w:ascii="Times New Roman CYR" w:hAnsi="Times New Roman CYR" w:cs="Times New Roman CYR"/>
          <w:sz w:val="28"/>
          <w:szCs w:val="28"/>
        </w:rPr>
        <w:tab/>
        <w:t>Валовой сбор зерна в первоначально оприходованном весе в хозяйствах всех категорий включенных в отчет (с учетом КФХ) составил 162443тонн, в весе после доработки – 147048 тонны, что на 7,8% выше показателя 2015 года (136456 тонны).</w:t>
      </w:r>
      <w:proofErr w:type="gramEnd"/>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Заготовлено 33,6 центнеров кормовых единиц на 1 условную голову скота, без учета </w:t>
      </w:r>
      <w:proofErr w:type="spellStart"/>
      <w:r>
        <w:rPr>
          <w:rFonts w:ascii="Times New Roman CYR" w:hAnsi="Times New Roman CYR" w:cs="Times New Roman CYR"/>
          <w:sz w:val="28"/>
          <w:szCs w:val="28"/>
        </w:rPr>
        <w:t>концкормов</w:t>
      </w:r>
      <w:proofErr w:type="spellEnd"/>
      <w:r>
        <w:rPr>
          <w:rFonts w:ascii="Times New Roman CYR" w:hAnsi="Times New Roman CYR" w:cs="Times New Roman CYR"/>
          <w:sz w:val="28"/>
          <w:szCs w:val="28"/>
        </w:rPr>
        <w:t>.</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по отрасли растениеводства получена прибыль в размере 165850 тыс. </w:t>
      </w:r>
      <w:proofErr w:type="spellStart"/>
      <w:r>
        <w:rPr>
          <w:rFonts w:ascii="Times New Roman CYR" w:hAnsi="Times New Roman CYR" w:cs="Times New Roman CYR"/>
          <w:sz w:val="28"/>
          <w:szCs w:val="28"/>
        </w:rPr>
        <w:t>руб</w:t>
      </w:r>
      <w:proofErr w:type="spellEnd"/>
      <w:r>
        <w:rPr>
          <w:rFonts w:ascii="Times New Roman CYR" w:hAnsi="Times New Roman CYR" w:cs="Times New Roman CYR"/>
          <w:sz w:val="28"/>
          <w:szCs w:val="28"/>
        </w:rPr>
        <w:t xml:space="preserve"> .(2015г – 179333 тыс. руб.).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Прибыль от продажи зерна составила 168257 тысяч рублей. </w:t>
      </w:r>
      <w:r>
        <w:rPr>
          <w:rFonts w:ascii="Times New Roman CYR" w:hAnsi="Times New Roman CYR" w:cs="Times New Roman CYR"/>
          <w:sz w:val="28"/>
          <w:szCs w:val="28"/>
        </w:rPr>
        <w:tab/>
        <w:t>Рентабельность производства зерна 55,4% (в 2015г – 62,1%).</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Уровень рентабельности по отрасли растениеводства составил 51,8 % (в 2015г – 60,1%).</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Животноводство</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b/>
          <w:bCs/>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отрасли животноводства следует отметить, что производственные показатели значительно ниже, чем в 2015 году. В 2016 году снижение поголовья крупного рогатого скота в хозяйствах всех категорий составило 3,6% в сравнении с  предыдущим годом. В сельскохозяйственных предприятиях, вошедших в сводный отчет, поголовье крупного рогатого скота на конец года составило 8034 головы, в том числе коров – 2770 голов, в сравнении с аналогичным периодом предыдущего года снижение составляет 7,05 %, и 6,96 % соответственно. Следует отметить развитие мясного скотоводства в крестьянских (фермерских) хозяйствах, поголовье крупного рогатого скота  на конец года в КФХ составило 619 голов, что на 69,6% выше предыдущего года.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Валовое производство молока за 2016 год составило 11500 тонн (2015 – 12152 </w:t>
      </w:r>
      <w:proofErr w:type="spellStart"/>
      <w:r>
        <w:rPr>
          <w:rFonts w:ascii="Times New Roman CYR" w:hAnsi="Times New Roman CYR" w:cs="Times New Roman CYR"/>
          <w:sz w:val="28"/>
          <w:szCs w:val="28"/>
        </w:rPr>
        <w:t>тн</w:t>
      </w:r>
      <w:proofErr w:type="spellEnd"/>
      <w:r>
        <w:rPr>
          <w:rFonts w:ascii="Times New Roman CYR" w:hAnsi="Times New Roman CYR" w:cs="Times New Roman CYR"/>
          <w:sz w:val="28"/>
          <w:szCs w:val="28"/>
        </w:rPr>
        <w:t>.). В сравнении с 2015 годом продуктивность коров снизилась на  148 кг</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составила 5432 кг. на фуражную корову. Лучшая продуктивность коров в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- 6046 кг, низкая продуктивность коров в ЗАО «Новоселовское» - 1920кг. В ЗАО «</w:t>
      </w:r>
      <w:proofErr w:type="spellStart"/>
      <w:r>
        <w:rPr>
          <w:rFonts w:ascii="Times New Roman CYR" w:hAnsi="Times New Roman CYR" w:cs="Times New Roman CYR"/>
          <w:sz w:val="28"/>
          <w:szCs w:val="28"/>
        </w:rPr>
        <w:t>Интикульское</w:t>
      </w:r>
      <w:proofErr w:type="spellEnd"/>
      <w:r>
        <w:rPr>
          <w:rFonts w:ascii="Times New Roman CYR" w:hAnsi="Times New Roman CYR" w:cs="Times New Roman CYR"/>
          <w:sz w:val="28"/>
          <w:szCs w:val="28"/>
        </w:rPr>
        <w:t xml:space="preserve">» - низкий выход телят мясного направления 73 теленка от 100 коров, среднесуточный привес составил 803 грамма. Всего выращено скота и птицы в живом весе 1250 тонн (2015г – 1319,9тн.).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2016 году производством молока занимались два сельскохозяйственных предприятия, одно </w:t>
      </w:r>
      <w:proofErr w:type="spellStart"/>
      <w:r>
        <w:rPr>
          <w:rFonts w:ascii="Times New Roman CYR" w:hAnsi="Times New Roman CYR" w:cs="Times New Roman CYR"/>
          <w:sz w:val="28"/>
          <w:szCs w:val="28"/>
        </w:rPr>
        <w:t>кфх</w:t>
      </w:r>
      <w:proofErr w:type="spellEnd"/>
      <w:r>
        <w:rPr>
          <w:rFonts w:ascii="Times New Roman CYR" w:hAnsi="Times New Roman CYR" w:cs="Times New Roman CYR"/>
          <w:sz w:val="28"/>
          <w:szCs w:val="28"/>
        </w:rPr>
        <w:t>, выращиванием крупного рогатого скота по мясной технологии – 10, из них 7 КФХ. Выращиванием овец занимаются три КФХ, поголовье овец к уровню 2015 года увеличилось на 484 головы и составило на 01.01.2017 года 1151 голов.</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Производство мясо КРС и шерсти убыточное уже несколько лет. Шерсть, производимая в КФХ, практически не востребована. Убыток от реализации мяса крупного рогатого скота составил – 48868 тыс. рублей.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Реализовано 9528,7 тонн молока, получена прибыль в сумме 42260 тысяч рублей, рентабельность составила 21,9%, без учета субсидий.</w:t>
      </w: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ab/>
        <w:t>В 2016 году два хозяйства района имеют статус племенных репродукторов - это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и ЗАО «</w:t>
      </w:r>
      <w:proofErr w:type="spellStart"/>
      <w:r>
        <w:rPr>
          <w:rFonts w:ascii="Times New Roman CYR" w:hAnsi="Times New Roman CYR" w:cs="Times New Roman CYR"/>
          <w:sz w:val="28"/>
          <w:szCs w:val="28"/>
        </w:rPr>
        <w:t>Интикульское</w:t>
      </w:r>
      <w:proofErr w:type="spellEnd"/>
      <w:r>
        <w:rPr>
          <w:rFonts w:ascii="Times New Roman CYR" w:hAnsi="Times New Roman CYR" w:cs="Times New Roman CYR"/>
          <w:sz w:val="28"/>
          <w:szCs w:val="28"/>
        </w:rPr>
        <w:t xml:space="preserve">, которое является одним из немногих в крае племенным репродуктором по мясному скотоводству, по разведению  герефордской породы. </w:t>
      </w:r>
      <w:proofErr w:type="gramStart"/>
      <w:r>
        <w:rPr>
          <w:rFonts w:ascii="Times New Roman CYR" w:hAnsi="Times New Roman CYR" w:cs="Times New Roman CYR"/>
          <w:sz w:val="28"/>
          <w:szCs w:val="28"/>
        </w:rPr>
        <w:t>Существенную роль в выручке, полученной от продажи продукции животноводства имеет реализация племенного скота, за 2016 год продано всего 440 голова на сумму 42203 тыс. рублей, за 2015 год было продано 421 голова на сумму 43120 тыс. руб. Цена продажи одной тонны живого веса племенного крупного рогатого скота в прошедшем году составляла более 210 тысяч рублей.</w:t>
      </w:r>
      <w:proofErr w:type="gramEnd"/>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Всего по отрасли животноводства получен убыток в сумме 9221 тыс. рублей, в сравнении с предыдущим годом этот показатель снизился в 4,5 раза (в 2015г убыток - 41881 тыс. руб.).</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итогам работы 2016 года отрасль животноводства нерентабельна, также как и в 2015 году.</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Ценовая политика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отчетном году в сравнении с 2015 годом цена реализации одной тонны зерна увеличилась на 13,9% и составила 8594 рублей. В основном было реализовано зерно урожая 2015 года. Цена реализации одной тонны пшеницы составила 9566 руб. ячменя 7775 руб. овса 4888 руб. В связи с отсутствием спроса на овес практически эта продукция реализовывалась по себестоимости.</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Цена реализации одной тонны молока в сравнении с предыдущим годом увеличилась на 9,2% и составила 24513 рублей. ЗАО «Новоселовское» реализовывало молоко в переработанном виде, цена реализации одной тонны молочной продукции в пересчете на молоко составила 28945 рублей.</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Цена реализации мяса КРС в живом весе за 1 тонну 118831 тыс. руб. увеличение составило 13,3 % (в 2015 г. - 104906руб) за счет продажи племенного скота в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ЗАО «</w:t>
      </w:r>
      <w:proofErr w:type="spellStart"/>
      <w:r>
        <w:rPr>
          <w:rFonts w:ascii="Times New Roman CYR" w:hAnsi="Times New Roman CYR" w:cs="Times New Roman CYR"/>
          <w:sz w:val="28"/>
          <w:szCs w:val="28"/>
        </w:rPr>
        <w:t>Интикульское</w:t>
      </w:r>
      <w:proofErr w:type="spellEnd"/>
      <w:r>
        <w:rPr>
          <w:rFonts w:ascii="Times New Roman CYR" w:hAnsi="Times New Roman CYR" w:cs="Times New Roman CYR"/>
          <w:sz w:val="28"/>
          <w:szCs w:val="28"/>
        </w:rPr>
        <w:t>».</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Цена реализации мяса крупного рогатого скота в живом весе от забоя составила 53734 рубля за 1 тонну, столь низкая цена сложилась в основном за счет реализации мяса </w:t>
      </w:r>
      <w:proofErr w:type="spellStart"/>
      <w:r>
        <w:rPr>
          <w:rFonts w:ascii="Times New Roman CYR" w:hAnsi="Times New Roman CYR" w:cs="Times New Roman CYR"/>
          <w:sz w:val="28"/>
          <w:szCs w:val="28"/>
        </w:rPr>
        <w:t>крс</w:t>
      </w:r>
      <w:proofErr w:type="spellEnd"/>
      <w:r>
        <w:rPr>
          <w:rFonts w:ascii="Times New Roman CYR" w:hAnsi="Times New Roman CYR" w:cs="Times New Roman CYR"/>
          <w:sz w:val="28"/>
          <w:szCs w:val="28"/>
        </w:rPr>
        <w:t xml:space="preserve"> полученного от вынужденного забоя животных ниже средней и тощей упитанности.</w:t>
      </w: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Финансовое оздоровление</w:t>
      </w: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2016 году три предприятия района завершили программу по финансовому оздоровлению в соответствии с федеральным законом от 09 июля 2002г № 83-ФЗ, в том числе ЗАО «Новоселовское» выполнило условие реструктуризации долга в полном объеме досрочно. Списано пени и штрафов в соответствии с условиями реструктуризации задолженности – 1588 тыс. рублей.</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Инвестиции в основной капитал</w:t>
      </w:r>
    </w:p>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p>
    <w:p w:rsidR="00D845E5" w:rsidRDefault="00D845E5" w:rsidP="00093F2E">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Объем инвестиций в основной капитал по сельскохозяйственным предприятиям за 2016 год составил 362161 тыс. рублей включая продуктивный скот, в том числе за счет привлеченных кредитных ресурсов 24000 тыс. рублей. Сельскохозяйственными организациями приобретено новой сельскохозяйственной техники: 7 тракторов, 9 зерноуборочных, и 2 кормоуборочных комбайнов, 13 единиц прочей сельскохозяйственной техники. </w:t>
      </w:r>
      <w:r>
        <w:rPr>
          <w:rFonts w:ascii="Times New Roman CYR" w:hAnsi="Times New Roman CYR" w:cs="Times New Roman CYR"/>
          <w:sz w:val="28"/>
          <w:szCs w:val="28"/>
        </w:rPr>
        <w:lastRenderedPageBreak/>
        <w:t>Коэффициент обновления тракторов составил 3 %, зерноуборочных комбайнов – 14,7%. Объем инвестиций по КФХ за 2016 год составил 38506 тыс. рублей. (2015г – 23542 тыс. руб.). При помощи государственной поддержки приобретено в КФХ: 1 зерноуборочный комбайн, 2 зерноуборочных комбайна по лизингу, 2 трактора, 8 единиц сельскохозяйственной техники.</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
    <w:p w:rsidR="00D845E5" w:rsidRDefault="00D845E5" w:rsidP="00093F2E">
      <w:pPr>
        <w:tabs>
          <w:tab w:val="left" w:pos="2835"/>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Затраты в основное производство</w:t>
      </w:r>
    </w:p>
    <w:p w:rsidR="00D845E5" w:rsidRDefault="00D845E5" w:rsidP="00093F2E">
      <w:pPr>
        <w:tabs>
          <w:tab w:val="left" w:pos="2835"/>
        </w:tabs>
        <w:autoSpaceDE w:val="0"/>
        <w:autoSpaceDN w:val="0"/>
        <w:adjustRightInd w:val="0"/>
        <w:spacing w:after="0" w:line="240" w:lineRule="auto"/>
        <w:jc w:val="both"/>
        <w:rPr>
          <w:rFonts w:ascii="Times New Roman CYR" w:hAnsi="Times New Roman CYR" w:cs="Times New Roman CYR"/>
          <w:sz w:val="28"/>
          <w:szCs w:val="28"/>
        </w:rPr>
      </w:pPr>
    </w:p>
    <w:p w:rsidR="00D845E5" w:rsidRDefault="00D845E5" w:rsidP="00093F2E">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2016 году по отношению к предыдущему году затраты на основное производство увеличились на 14,5% и составили 1059545 тыс. руб. </w:t>
      </w:r>
      <w:r>
        <w:rPr>
          <w:rFonts w:ascii="Times New Roman CYR" w:hAnsi="Times New Roman CYR" w:cs="Times New Roman CYR"/>
          <w:sz w:val="28"/>
          <w:szCs w:val="28"/>
        </w:rPr>
        <w:tab/>
        <w:t>Производственная себестоимость одной тонны зерна увеличилась на 383 рубля и составила 5335 рубля. Себестоимость одной тонны молока увеличилась на 3301 рубль и составила 19907 рублей. Себестоимость одной тонны живого веса крупного рогатого скота увеличилась на 0,97% и составила 118154 рубля.</w:t>
      </w:r>
    </w:p>
    <w:p w:rsidR="00D845E5" w:rsidRDefault="00D845E5" w:rsidP="00093F2E">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Рост себестоимости молока обусловлен снижением валового надоя в сравнении с 2015 годом на 652 тонны, рост себестоимости зерна связан увеличением цены на минеральные удобрения (27,1%), а также с увеличением нормы внесения минеральных удобрений до 57 кг</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д</w:t>
      </w:r>
      <w:proofErr w:type="gramEnd"/>
      <w:r>
        <w:rPr>
          <w:rFonts w:ascii="Times New Roman CYR" w:hAnsi="Times New Roman CYR" w:cs="Times New Roman CYR"/>
          <w:sz w:val="28"/>
          <w:szCs w:val="28"/>
        </w:rPr>
        <w:t>/в на 1га (в 2015году – 42,5кг. д/в на 1 га). роста тарифов на элект</w:t>
      </w:r>
      <w:bookmarkStart w:id="0" w:name="_GoBack"/>
      <w:bookmarkEnd w:id="0"/>
      <w:r>
        <w:rPr>
          <w:rFonts w:ascii="Times New Roman CYR" w:hAnsi="Times New Roman CYR" w:cs="Times New Roman CYR"/>
          <w:sz w:val="28"/>
          <w:szCs w:val="28"/>
        </w:rPr>
        <w:t>роэнергию на 14,8% (стоимость 1 кВт 2015г - 4,71руб. 2016г – 5,41 руб.).</w:t>
      </w:r>
    </w:p>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01.01.2017 года протяжённость автомобильных дорог общего пользования местного значения (УДС) составила 243,71 км</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 том числе:</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- 91,226 – с твёрдым покрытием, из них 48,958 с усовершенствованным типом покрытия;</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- 152,484 км -  грунтовые.</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"Протяженность автомобильных дорог общего пользования местного значения, не отвечающих нормативным требованиям" в 2016 году в связи с проведен</w:t>
      </w:r>
      <w:r w:rsidR="0064587D">
        <w:rPr>
          <w:rFonts w:ascii="Times New Roman CYR" w:hAnsi="Times New Roman CYR" w:cs="Times New Roman CYR"/>
          <w:sz w:val="28"/>
          <w:szCs w:val="28"/>
        </w:rPr>
        <w:t>и</w:t>
      </w:r>
      <w:r>
        <w:rPr>
          <w:rFonts w:ascii="Times New Roman CYR" w:hAnsi="Times New Roman CYR" w:cs="Times New Roman CYR"/>
          <w:sz w:val="28"/>
          <w:szCs w:val="28"/>
        </w:rPr>
        <w:t>ем визуализированной оценки дорожного полотна составила 54,9%, в 2015 году данный п</w:t>
      </w:r>
      <w:r w:rsidR="0064587D">
        <w:rPr>
          <w:rFonts w:ascii="Times New Roman CYR" w:hAnsi="Times New Roman CYR" w:cs="Times New Roman CYR"/>
          <w:sz w:val="28"/>
          <w:szCs w:val="28"/>
        </w:rPr>
        <w:t>о</w:t>
      </w:r>
      <w:r>
        <w:rPr>
          <w:rFonts w:ascii="Times New Roman CYR" w:hAnsi="Times New Roman CYR" w:cs="Times New Roman CYR"/>
          <w:sz w:val="28"/>
          <w:szCs w:val="28"/>
        </w:rPr>
        <w:t xml:space="preserve">казатель отсутствовал, так как обследование автодорог не проводилась.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D845E5" w:rsidRDefault="00D845E5" w:rsidP="00093F2E">
      <w:pPr>
        <w:widowControl w:val="0"/>
        <w:autoSpaceDE w:val="0"/>
        <w:autoSpaceDN w:val="0"/>
        <w:adjustRightInd w:val="0"/>
        <w:spacing w:after="0" w:line="240" w:lineRule="auto"/>
        <w:ind w:firstLine="708"/>
        <w:jc w:val="both"/>
        <w:rPr>
          <w:rFonts w:ascii="Arial CYR" w:hAnsi="Arial CYR" w:cs="Arial CYR"/>
          <w:sz w:val="16"/>
          <w:szCs w:val="16"/>
        </w:rPr>
      </w:pPr>
      <w:r>
        <w:rPr>
          <w:rFonts w:ascii="Times New Roman CYR" w:hAnsi="Times New Roman CYR" w:cs="Times New Roman CYR"/>
          <w:sz w:val="28"/>
          <w:szCs w:val="28"/>
        </w:rPr>
        <w:lastRenderedPageBreak/>
        <w:t xml:space="preserve">На территории района в трёх населённых пунктах, с общей численностью проживающих 23 человека, нет регулярного автобусного сообщения с административным центром, что составляет 0,17% от общей численности населения района. Численность населения в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еленоборск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п.Енисей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д.Старая</w:t>
      </w:r>
      <w:proofErr w:type="spellEnd"/>
      <w:r>
        <w:rPr>
          <w:rFonts w:ascii="Times New Roman CYR" w:hAnsi="Times New Roman CYR" w:cs="Times New Roman CYR"/>
          <w:sz w:val="28"/>
          <w:szCs w:val="28"/>
        </w:rPr>
        <w:t xml:space="preserve"> в 2016 год осталась на уровне 2015 года. На период 2017 – 2019 гг. планируется незначительное снижение численности в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еленоборск</w:t>
      </w:r>
      <w:proofErr w:type="spellEnd"/>
      <w:r>
        <w:rPr>
          <w:rFonts w:ascii="Times New Roman CYR" w:hAnsi="Times New Roman CYR" w:cs="Times New Roman CYR"/>
          <w:sz w:val="28"/>
          <w:szCs w:val="28"/>
        </w:rPr>
        <w:t xml:space="preserve">  следовательно, данный показатель в 2017 – 2019 годах за счет снижения среднегодовой численности населения планируется без изменения.</w:t>
      </w:r>
    </w:p>
    <w:p w:rsidR="00D845E5" w:rsidRDefault="00D845E5" w:rsidP="00093F2E">
      <w:pPr>
        <w:widowControl w:val="0"/>
        <w:autoSpaceDE w:val="0"/>
        <w:autoSpaceDN w:val="0"/>
        <w:adjustRightInd w:val="0"/>
        <w:spacing w:after="0" w:line="240" w:lineRule="auto"/>
        <w:jc w:val="both"/>
        <w:rPr>
          <w:rFonts w:ascii="Arial CYR" w:hAnsi="Arial CYR" w:cs="Arial CYR"/>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Размер среднемесячной номинальной начисленной заработной платы работников крупных и средних предприятий и некоммерческих организаций, расположенных на территории района, в 2016 году составил 23925,5 рублей</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что выше показателя прошлого года на 5,3% (на 1204,5руб.). Данный рост обусловлен пре</w:t>
      </w:r>
      <w:r w:rsidR="00892A3E">
        <w:rPr>
          <w:rFonts w:ascii="Times New Roman CYR" w:hAnsi="Times New Roman CYR" w:cs="Times New Roman CYR"/>
          <w:sz w:val="28"/>
          <w:szCs w:val="28"/>
        </w:rPr>
        <w:t>и</w:t>
      </w:r>
      <w:r>
        <w:rPr>
          <w:rFonts w:ascii="Times New Roman CYR" w:hAnsi="Times New Roman CYR" w:cs="Times New Roman CYR"/>
          <w:sz w:val="28"/>
          <w:szCs w:val="28"/>
        </w:rPr>
        <w:t xml:space="preserve">мущественно за счет роста заработной платы работникам бюджетной сферы отрасль образования. </w:t>
      </w:r>
    </w:p>
    <w:p w:rsidR="00D845E5" w:rsidRDefault="00D845E5" w:rsidP="00093F2E">
      <w:pPr>
        <w:autoSpaceDE w:val="0"/>
        <w:autoSpaceDN w:val="0"/>
        <w:adjustRightInd w:val="0"/>
        <w:spacing w:after="0" w:line="240" w:lineRule="auto"/>
        <w:jc w:val="both"/>
        <w:rPr>
          <w:rFonts w:ascii="Times New Roman CYR" w:hAnsi="Times New Roman CYR" w:cs="Times New Roman CYR"/>
          <w:color w:val="FF0000"/>
          <w:sz w:val="28"/>
          <w:szCs w:val="28"/>
        </w:rPr>
      </w:pPr>
      <w:r>
        <w:rPr>
          <w:rFonts w:ascii="Times New Roman CYR" w:hAnsi="Times New Roman CYR" w:cs="Times New Roman CYR"/>
          <w:sz w:val="28"/>
          <w:szCs w:val="28"/>
        </w:rPr>
        <w:tab/>
        <w:t>К  2019 году среднемесячная начисленная заработная плата работников крупных и средних предприятий и некоммерческих организаций по отношению к 2016 году увеличится на 18%.</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rsidR="00093F2E" w:rsidRPr="00093F2E" w:rsidRDefault="00093F2E" w:rsidP="00093F2E">
      <w:pPr>
        <w:autoSpaceDE w:val="0"/>
        <w:autoSpaceDN w:val="0"/>
        <w:adjustRightInd w:val="0"/>
        <w:spacing w:after="0" w:line="240" w:lineRule="auto"/>
        <w:ind w:firstLine="708"/>
        <w:jc w:val="both"/>
        <w:rPr>
          <w:rFonts w:ascii="Times New Roman" w:hAnsi="Times New Roman" w:cs="Times New Roman"/>
          <w:sz w:val="28"/>
          <w:szCs w:val="28"/>
        </w:rPr>
      </w:pPr>
      <w:r w:rsidRPr="00093F2E">
        <w:rPr>
          <w:rFonts w:ascii="Times New Roman" w:hAnsi="Times New Roman" w:cs="Times New Roman"/>
          <w:sz w:val="28"/>
          <w:szCs w:val="28"/>
        </w:rPr>
        <w:t xml:space="preserve">Среднемесячная номинальная начисленная заработная плата работников муниципальных дошкольных образовательных учреждений в 2016 году составила - 17904,6рублей, что выше уровня прошлого года на 5,7% </w:t>
      </w:r>
      <w:proofErr w:type="gramStart"/>
      <w:r w:rsidRPr="00093F2E">
        <w:rPr>
          <w:rFonts w:ascii="Times New Roman" w:hAnsi="Times New Roman" w:cs="Times New Roman"/>
          <w:sz w:val="28"/>
          <w:szCs w:val="28"/>
        </w:rPr>
        <w:t xml:space="preserve">( </w:t>
      </w:r>
      <w:proofErr w:type="gramEnd"/>
      <w:r w:rsidRPr="00093F2E">
        <w:rPr>
          <w:rFonts w:ascii="Times New Roman" w:hAnsi="Times New Roman" w:cs="Times New Roman"/>
          <w:sz w:val="28"/>
          <w:szCs w:val="28"/>
        </w:rPr>
        <w:t xml:space="preserve">964,3 руб.). В 2017 году планируется незначительный рост и на период до 2019 года заработная плата в бюджете запланирована  без изменения. </w:t>
      </w:r>
    </w:p>
    <w:p w:rsidR="00093F2E" w:rsidRPr="00093F2E" w:rsidRDefault="00093F2E" w:rsidP="00093F2E">
      <w:pPr>
        <w:autoSpaceDE w:val="0"/>
        <w:autoSpaceDN w:val="0"/>
        <w:adjustRightInd w:val="0"/>
        <w:spacing w:after="0" w:line="240" w:lineRule="auto"/>
        <w:jc w:val="both"/>
        <w:rPr>
          <w:rFonts w:ascii="Times" w:hAnsi="Times" w:cs="Times"/>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rsidR="00D845E5" w:rsidRDefault="00D845E5" w:rsidP="00093F2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образовательных учреждений в 2016 году составила - 28098,54рублей, что выше уровня прошлого года на 4,1% (на 1107,24 руб.).  В 2017 году и до 2019 года данный показатель планируется в размере 27526,33 руб. Изменение с</w:t>
      </w:r>
      <w:r>
        <w:rPr>
          <w:rFonts w:ascii="Times New Roman CYR" w:hAnsi="Times New Roman CYR" w:cs="Times New Roman CYR"/>
          <w:color w:val="000000"/>
          <w:sz w:val="28"/>
          <w:szCs w:val="28"/>
        </w:rPr>
        <w:t xml:space="preserve">реднемесячной заработной платы учителей муниципальных общеобразовательных учреждений в меньшую строну за счет нормативно - </w:t>
      </w:r>
      <w:proofErr w:type="spellStart"/>
      <w:r>
        <w:rPr>
          <w:rFonts w:ascii="Times New Roman CYR" w:hAnsi="Times New Roman CYR" w:cs="Times New Roman CYR"/>
          <w:color w:val="000000"/>
          <w:sz w:val="28"/>
          <w:szCs w:val="28"/>
        </w:rPr>
        <w:t>подушевого</w:t>
      </w:r>
      <w:proofErr w:type="spellEnd"/>
      <w:r>
        <w:rPr>
          <w:rFonts w:ascii="Times New Roman CYR" w:hAnsi="Times New Roman CYR" w:cs="Times New Roman CYR"/>
          <w:color w:val="000000"/>
          <w:sz w:val="28"/>
          <w:szCs w:val="28"/>
        </w:rPr>
        <w:t xml:space="preserve"> финансирования общеобразовательных учреждений (изменение </w:t>
      </w:r>
      <w:r>
        <w:rPr>
          <w:rFonts w:ascii="Times New Roman CYR" w:hAnsi="Times New Roman CYR" w:cs="Times New Roman CYR"/>
          <w:color w:val="000000"/>
          <w:sz w:val="28"/>
          <w:szCs w:val="28"/>
        </w:rPr>
        <w:lastRenderedPageBreak/>
        <w:t>количества детей</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н</w:t>
      </w:r>
      <w:proofErr w:type="gramEnd"/>
      <w:r>
        <w:rPr>
          <w:rFonts w:ascii="Times New Roman CYR" w:hAnsi="Times New Roman CYR" w:cs="Times New Roman CYR"/>
          <w:color w:val="000000"/>
          <w:sz w:val="28"/>
          <w:szCs w:val="28"/>
        </w:rPr>
        <w:t xml:space="preserve">аходящихся на инклюзивном обучении и уменьшения количества детей, обучающихся на дому). </w:t>
      </w:r>
    </w:p>
    <w:p w:rsidR="00D845E5" w:rsidRDefault="00D845E5" w:rsidP="00093F2E">
      <w:pPr>
        <w:widowControl w:val="0"/>
        <w:autoSpaceDE w:val="0"/>
        <w:autoSpaceDN w:val="0"/>
        <w:adjustRightInd w:val="0"/>
        <w:spacing w:after="0" w:line="240" w:lineRule="auto"/>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rsidR="00D845E5" w:rsidRDefault="00D845E5" w:rsidP="00093F2E">
      <w:pPr>
        <w:widowControl w:val="0"/>
        <w:autoSpaceDE w:val="0"/>
        <w:autoSpaceDN w:val="0"/>
        <w:adjustRightInd w:val="0"/>
        <w:spacing w:after="0" w:line="240" w:lineRule="auto"/>
        <w:jc w:val="both"/>
        <w:rPr>
          <w:rFonts w:ascii="Times New Roman CYR" w:hAnsi="Times New Roman CYR" w:cs="Times New Roman CYR"/>
          <w:sz w:val="16"/>
          <w:szCs w:val="16"/>
        </w:rPr>
      </w:pPr>
      <w:r>
        <w:rPr>
          <w:rFonts w:ascii="Arial CYR" w:hAnsi="Arial CYR" w:cs="Arial CYR"/>
          <w:sz w:val="20"/>
          <w:szCs w:val="20"/>
        </w:rPr>
        <w:t xml:space="preserve"> </w:t>
      </w:r>
      <w:r>
        <w:rPr>
          <w:rFonts w:ascii="Times New Roman CYR" w:hAnsi="Times New Roman CYR" w:cs="Times New Roman CYR"/>
          <w:sz w:val="28"/>
          <w:szCs w:val="28"/>
        </w:rPr>
        <w:t>Среднемесячная номинальная начисленная заработная плата работников муниципальных учреждений культуры и искусства в 2016 году составила - 15378,3 рублей, что выше уровня прошлого года на 3,8% (560,9 руб.). В 2017 году данный показатель планируется в размере - 15874,65 руб. и до 2019 года планируется без изменений.</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rsidR="00D845E5" w:rsidRDefault="00D845E5" w:rsidP="00093F2E">
      <w:pPr>
        <w:widowControl w:val="0"/>
        <w:autoSpaceDE w:val="0"/>
        <w:autoSpaceDN w:val="0"/>
        <w:adjustRightInd w:val="0"/>
        <w:spacing w:after="0" w:line="240" w:lineRule="auto"/>
        <w:jc w:val="both"/>
        <w:rPr>
          <w:rFonts w:ascii="Times New Roman CYR" w:hAnsi="Times New Roman CYR" w:cs="Times New Roman CYR"/>
          <w:sz w:val="16"/>
          <w:szCs w:val="16"/>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учреждений физической культуры и спорта в 2016 году составила - 14423,55 рублей, что выше уровня прошлого года на 16,6% (2056,85руб.). В 2017 году данные показатель планируется в размере - 14596,89руб. и до 2019 года планируется без изменений.</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 </w:t>
      </w:r>
      <w:r>
        <w:rPr>
          <w:rFonts w:ascii="Times New Roman CYR" w:hAnsi="Times New Roman CYR" w:cs="Times New Roman CYR"/>
          <w:b/>
          <w:bCs/>
          <w:color w:val="000000"/>
          <w:sz w:val="28"/>
          <w:szCs w:val="28"/>
        </w:rPr>
        <w:t>Дошкольное образование</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9. </w:t>
      </w:r>
      <w:r>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sidRPr="00892A3E">
        <w:rPr>
          <w:rFonts w:ascii="Times New Roman CYR" w:hAnsi="Times New Roman CYR" w:cs="Times New Roman CYR"/>
          <w:iCs/>
          <w:sz w:val="28"/>
          <w:szCs w:val="28"/>
        </w:rPr>
        <w:t xml:space="preserve">Доля детей в возрасте 1-6 </w:t>
      </w:r>
      <w:proofErr w:type="gramStart"/>
      <w:r w:rsidRPr="00892A3E">
        <w:rPr>
          <w:rFonts w:ascii="Times New Roman CYR" w:hAnsi="Times New Roman CYR" w:cs="Times New Roman CYR"/>
          <w:iCs/>
          <w:sz w:val="28"/>
          <w:szCs w:val="28"/>
        </w:rPr>
        <w:t>лет, получающих дошкольную образовательную услугу в общей численности детей в возрасте 1-6 лет</w:t>
      </w:r>
      <w:r w:rsidRPr="00892A3E">
        <w:rPr>
          <w:rFonts w:ascii="Times New Roman CYR" w:hAnsi="Times New Roman CYR" w:cs="Times New Roman CYR"/>
          <w:iCs/>
          <w:color w:val="FF0000"/>
          <w:sz w:val="28"/>
          <w:szCs w:val="28"/>
        </w:rPr>
        <w:t xml:space="preserve"> </w:t>
      </w:r>
      <w:r w:rsidRPr="00892A3E">
        <w:rPr>
          <w:rFonts w:ascii="Times New Roman CYR" w:hAnsi="Times New Roman CYR" w:cs="Times New Roman CYR"/>
          <w:sz w:val="28"/>
          <w:szCs w:val="28"/>
        </w:rPr>
        <w:t>в 2016 году значение составило</w:t>
      </w:r>
      <w:proofErr w:type="gramEnd"/>
      <w:r w:rsidRPr="00892A3E">
        <w:rPr>
          <w:rFonts w:ascii="Times New Roman CYR" w:hAnsi="Times New Roman CYR" w:cs="Times New Roman CYR"/>
          <w:sz w:val="28"/>
          <w:szCs w:val="28"/>
        </w:rPr>
        <w:t xml:space="preserve"> 66,1%, что ниже уровня прошлого года на 0,6%. Снижение показателя  за счет увеличения общего количества детей</w:t>
      </w:r>
      <w:r>
        <w:rPr>
          <w:rFonts w:ascii="Times New Roman CYR" w:hAnsi="Times New Roman CYR" w:cs="Times New Roman CYR"/>
          <w:sz w:val="28"/>
          <w:szCs w:val="28"/>
        </w:rPr>
        <w:t xml:space="preserve">, проживающих на территории района по данным </w:t>
      </w:r>
      <w:proofErr w:type="spellStart"/>
      <w:r>
        <w:rPr>
          <w:rFonts w:ascii="Times New Roman CYR" w:hAnsi="Times New Roman CYR" w:cs="Times New Roman CYR"/>
          <w:sz w:val="28"/>
          <w:szCs w:val="28"/>
        </w:rPr>
        <w:t>КрайСтата</w:t>
      </w:r>
      <w:proofErr w:type="spellEnd"/>
      <w:r>
        <w:rPr>
          <w:rFonts w:ascii="Times New Roman CYR" w:hAnsi="Times New Roman CYR" w:cs="Times New Roman CYR"/>
          <w:sz w:val="28"/>
          <w:szCs w:val="28"/>
        </w:rPr>
        <w:t xml:space="preserve"> на 9 человек.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На 2017 год и плановый период до 2019 года планируется  незначительное увеличение показателя до 66,7%.</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i/>
          <w:iCs/>
          <w:color w:val="FF0000"/>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D845E5" w:rsidRDefault="00892A3E"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П</w:t>
      </w:r>
      <w:r w:rsidR="00D845E5">
        <w:rPr>
          <w:rFonts w:ascii="Times New Roman CYR" w:hAnsi="Times New Roman CYR" w:cs="Times New Roman CYR"/>
          <w:color w:val="000000"/>
          <w:sz w:val="28"/>
          <w:szCs w:val="28"/>
        </w:rPr>
        <w:t xml:space="preserve">о данному показателю </w:t>
      </w:r>
      <w:r w:rsidR="00D845E5">
        <w:rPr>
          <w:rFonts w:ascii="Times New Roman CYR" w:hAnsi="Times New Roman CYR" w:cs="Times New Roman CYR"/>
          <w:sz w:val="28"/>
          <w:szCs w:val="28"/>
        </w:rPr>
        <w:t>имеется положительная динамика</w:t>
      </w:r>
      <w:r w:rsidR="0017303E">
        <w:rPr>
          <w:rFonts w:ascii="Times New Roman CYR" w:hAnsi="Times New Roman CYR" w:cs="Times New Roman CYR"/>
          <w:sz w:val="28"/>
          <w:szCs w:val="28"/>
        </w:rPr>
        <w:t>:</w:t>
      </w:r>
      <w:r w:rsidR="00D845E5">
        <w:rPr>
          <w:rFonts w:ascii="Times New Roman CYR" w:hAnsi="Times New Roman CYR" w:cs="Times New Roman CYR"/>
          <w:sz w:val="28"/>
          <w:szCs w:val="28"/>
        </w:rPr>
        <w:t xml:space="preserve"> с 0,26% в 2015 году до 0% в 2016 году. Отсутствие очереди детей достигнуто за счет ввода в эксплуатацию детского сада на территории с. </w:t>
      </w:r>
      <w:proofErr w:type="spellStart"/>
      <w:r w:rsidR="00D845E5">
        <w:rPr>
          <w:rFonts w:ascii="Times New Roman CYR" w:hAnsi="Times New Roman CYR" w:cs="Times New Roman CYR"/>
          <w:sz w:val="28"/>
          <w:szCs w:val="28"/>
        </w:rPr>
        <w:t>Светлолобово</w:t>
      </w:r>
      <w:proofErr w:type="spellEnd"/>
      <w:r w:rsidR="00D845E5">
        <w:rPr>
          <w:rFonts w:ascii="Times New Roman CYR" w:hAnsi="Times New Roman CYR" w:cs="Times New Roman CYR"/>
          <w:sz w:val="28"/>
          <w:szCs w:val="28"/>
        </w:rPr>
        <w:t xml:space="preserve"> на 95 мест.</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прогнозу данный показатель с 2017 по 2019 год планируется на уровне 2016 года и составит 0%.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11. </w:t>
      </w:r>
      <w:r>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D845E5" w:rsidRDefault="0017303E"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показателя </w:t>
      </w:r>
      <w:r w:rsidR="00D845E5">
        <w:rPr>
          <w:rFonts w:ascii="Times New Roman CYR" w:hAnsi="Times New Roman CYR" w:cs="Times New Roman CYR"/>
          <w:sz w:val="28"/>
          <w:szCs w:val="28"/>
        </w:rPr>
        <w:t xml:space="preserve"> изменил</w:t>
      </w:r>
      <w:r>
        <w:rPr>
          <w:rFonts w:ascii="Times New Roman CYR" w:hAnsi="Times New Roman CYR" w:cs="Times New Roman CYR"/>
          <w:sz w:val="28"/>
          <w:szCs w:val="28"/>
        </w:rPr>
        <w:t>о</w:t>
      </w:r>
      <w:r w:rsidR="00D845E5">
        <w:rPr>
          <w:rFonts w:ascii="Times New Roman CYR" w:hAnsi="Times New Roman CYR" w:cs="Times New Roman CYR"/>
          <w:sz w:val="28"/>
          <w:szCs w:val="28"/>
        </w:rPr>
        <w:t>с</w:t>
      </w:r>
      <w:r>
        <w:rPr>
          <w:rFonts w:ascii="Times New Roman CYR" w:hAnsi="Times New Roman CYR" w:cs="Times New Roman CYR"/>
          <w:sz w:val="28"/>
          <w:szCs w:val="28"/>
        </w:rPr>
        <w:t>ь</w:t>
      </w:r>
      <w:r w:rsidR="00D845E5">
        <w:rPr>
          <w:rFonts w:ascii="Times New Roman CYR" w:hAnsi="Times New Roman CYR" w:cs="Times New Roman CYR"/>
          <w:sz w:val="28"/>
          <w:szCs w:val="28"/>
        </w:rPr>
        <w:t xml:space="preserve"> с 7,7% в 2015 году до </w:t>
      </w:r>
      <w:r w:rsidR="00D80063">
        <w:rPr>
          <w:rFonts w:ascii="Times New Roman CYR" w:hAnsi="Times New Roman CYR" w:cs="Times New Roman CYR"/>
          <w:sz w:val="28"/>
          <w:szCs w:val="28"/>
        </w:rPr>
        <w:t>16,7</w:t>
      </w:r>
      <w:r w:rsidR="00D845E5">
        <w:rPr>
          <w:rFonts w:ascii="Times New Roman CYR" w:hAnsi="Times New Roman CYR" w:cs="Times New Roman CYR"/>
          <w:sz w:val="28"/>
          <w:szCs w:val="28"/>
        </w:rPr>
        <w:t xml:space="preserve">% в 2016 году.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изменения связаны с  получением предписаний  в 2016 году надзорных органов, в рамках которых необходим капитальный ремонт </w:t>
      </w:r>
      <w:r w:rsidR="00D80063">
        <w:rPr>
          <w:rFonts w:ascii="Times New Roman CYR" w:hAnsi="Times New Roman CYR" w:cs="Times New Roman CYR"/>
          <w:sz w:val="28"/>
          <w:szCs w:val="28"/>
        </w:rPr>
        <w:t xml:space="preserve">в 2 ДОУ (МБДОУ </w:t>
      </w:r>
      <w:proofErr w:type="spellStart"/>
      <w:r w:rsidR="00D80063">
        <w:rPr>
          <w:rFonts w:ascii="Times New Roman CYR" w:hAnsi="Times New Roman CYR" w:cs="Times New Roman CYR"/>
          <w:sz w:val="28"/>
          <w:szCs w:val="28"/>
        </w:rPr>
        <w:t>Новоселовский</w:t>
      </w:r>
      <w:proofErr w:type="spellEnd"/>
      <w:r w:rsidR="00D80063">
        <w:rPr>
          <w:rFonts w:ascii="Times New Roman CYR" w:hAnsi="Times New Roman CYR" w:cs="Times New Roman CYR"/>
          <w:sz w:val="28"/>
          <w:szCs w:val="28"/>
        </w:rPr>
        <w:t xml:space="preserve">  детский сад "Росинка" № 24, </w:t>
      </w:r>
      <w:proofErr w:type="spellStart"/>
      <w:r w:rsidR="00D80063">
        <w:rPr>
          <w:rFonts w:ascii="Times New Roman CYR" w:hAnsi="Times New Roman CYR" w:cs="Times New Roman CYR"/>
          <w:sz w:val="28"/>
          <w:szCs w:val="28"/>
        </w:rPr>
        <w:t>Новоселовский</w:t>
      </w:r>
      <w:proofErr w:type="spellEnd"/>
      <w:r w:rsidR="00D80063">
        <w:rPr>
          <w:rFonts w:ascii="Times New Roman CYR" w:hAnsi="Times New Roman CYR" w:cs="Times New Roman CYR"/>
          <w:sz w:val="28"/>
          <w:szCs w:val="28"/>
        </w:rPr>
        <w:t xml:space="preserve"> детский сад "Малышок"</w:t>
      </w:r>
      <w:r w:rsidR="00D80063">
        <w:rPr>
          <w:rFonts w:ascii="Times New Roman" w:hAnsi="Times New Roman" w:cs="Times New Roman"/>
          <w:sz w:val="28"/>
          <w:szCs w:val="28"/>
        </w:rPr>
        <w:t>№</w:t>
      </w:r>
      <w:r w:rsidR="00D80063">
        <w:rPr>
          <w:rFonts w:ascii="Times New Roman CYR" w:hAnsi="Times New Roman CYR" w:cs="Times New Roman CYR"/>
          <w:sz w:val="28"/>
          <w:szCs w:val="28"/>
        </w:rPr>
        <w:t>11)</w:t>
      </w:r>
      <w:r w:rsidR="00D67C20">
        <w:rPr>
          <w:rFonts w:ascii="Times New Roman CYR" w:hAnsi="Times New Roman CYR" w:cs="Times New Roman CYR"/>
          <w:sz w:val="28"/>
          <w:szCs w:val="28"/>
        </w:rPr>
        <w:t xml:space="preserve">, всего 12 ДОУ. </w:t>
      </w:r>
      <w:r>
        <w:rPr>
          <w:rFonts w:ascii="Times New Roman CYR" w:hAnsi="Times New Roman CYR" w:cs="Times New Roman CYR"/>
          <w:sz w:val="28"/>
          <w:szCs w:val="28"/>
        </w:rPr>
        <w:t xml:space="preserve">Далее данный показатель  будет оставаться стабильным на уровне  8,3%  до 2019 года. В рамках работы по улучшению условий учреждений специалистами отдела образования и МКУ «ХГУО Новоселовского района» проводится систематический мониторинг с целью анализа состояний зданий учреждений и своевременное планирование ремонтных работ. Отделом образования подготовлен перспективный план капитального ремонта дошкольных образовательных учреждений, согласно которого ежегодно планируется капитально отремонтировать не менее 1 дошкольного образовательного учреждения.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III. </w:t>
      </w:r>
      <w:r>
        <w:rPr>
          <w:rFonts w:ascii="Times New Roman CYR" w:hAnsi="Times New Roman CYR" w:cs="Times New Roman CYR"/>
          <w:b/>
          <w:bCs/>
          <w:color w:val="000000"/>
          <w:sz w:val="28"/>
          <w:szCs w:val="28"/>
        </w:rPr>
        <w:t>Общее и дополнительное образование</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D845E5" w:rsidRDefault="00D67C20"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данному показателю н</w:t>
      </w:r>
      <w:r w:rsidR="00D845E5">
        <w:rPr>
          <w:rFonts w:ascii="Times New Roman CYR" w:hAnsi="Times New Roman CYR" w:cs="Times New Roman CYR"/>
          <w:sz w:val="28"/>
          <w:szCs w:val="28"/>
        </w:rPr>
        <w:t xml:space="preserve">аблюдается динамика </w:t>
      </w:r>
      <w:r w:rsidR="002E4A81">
        <w:rPr>
          <w:rFonts w:ascii="Times New Roman CYR" w:hAnsi="Times New Roman CYR" w:cs="Times New Roman CYR"/>
          <w:sz w:val="28"/>
          <w:szCs w:val="28"/>
        </w:rPr>
        <w:t>улучшения</w:t>
      </w:r>
      <w:r w:rsidR="00D845E5">
        <w:rPr>
          <w:rFonts w:ascii="Times New Roman CYR" w:hAnsi="Times New Roman CYR" w:cs="Times New Roman CYR"/>
          <w:sz w:val="28"/>
          <w:szCs w:val="28"/>
        </w:rPr>
        <w:t xml:space="preserve"> с 10,71 в 2015 году до 0,00% в 2016 году.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В рамках подготовки выпускников 11 классов к прохождению государственной итоговой аттестации в 2016 году в районе была выстроена работа с родителями (законными представителями) учащихся, систематически пропускающих занятия и недобросовестно относящихся к обучению на уровне общеобразовательных учреждений (информирование, собеседование об ответственности, о последствиях не прохождения ГИА и т.д.). Кроме проводимых мероприятий, как на уровне учреждений, достижению результата способствует целевое планирование, утверждение и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муниципальных заданий, выданных общеобразовательным учреждениям.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 счет целенаправленной и продуманной работы удалось достичь результата 2014 года – 0%.</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до 2019 года планируется сохранить данный результат.</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14.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w:t>
      </w:r>
      <w:r w:rsidR="002E4A81">
        <w:rPr>
          <w:rFonts w:ascii="Times New Roman CYR" w:hAnsi="Times New Roman CYR" w:cs="Times New Roman CYR"/>
          <w:sz w:val="28"/>
          <w:szCs w:val="28"/>
        </w:rPr>
        <w:t xml:space="preserve">данному </w:t>
      </w:r>
      <w:r>
        <w:rPr>
          <w:rFonts w:ascii="Times New Roman CYR" w:hAnsi="Times New Roman CYR" w:cs="Times New Roman CYR"/>
          <w:sz w:val="28"/>
          <w:szCs w:val="28"/>
        </w:rPr>
        <w:t>показателю</w:t>
      </w:r>
      <w:r w:rsidR="002E4A81">
        <w:rPr>
          <w:rFonts w:ascii="Times New Roman CYR" w:hAnsi="Times New Roman CYR" w:cs="Times New Roman CYR"/>
          <w:sz w:val="28"/>
          <w:szCs w:val="28"/>
        </w:rPr>
        <w:t xml:space="preserve"> </w:t>
      </w:r>
      <w:r>
        <w:rPr>
          <w:rFonts w:ascii="Times New Roman CYR" w:hAnsi="Times New Roman CYR" w:cs="Times New Roman CYR"/>
          <w:sz w:val="28"/>
          <w:szCs w:val="28"/>
        </w:rPr>
        <w:t>имеется положительная динамика с 71,58 % в 2015 году до 72,08 в 2016 году.</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 счет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аевого бюджета в муниципальную систему общего образования был поставлен 1 автобус, соответствующий современным требованиям к безопасным перевозкам детей. На 2017 год планируется незначительная положительная динамика с 71,58 % до 72,08 % за счет сокращения количества учреждений, требующих капитального ремонта в общем количестве общеобразовательных учреждений. До 2018 года планируем довести значение данного показателя до 72,55 %. Значительного роста значения показателя до 91,21 % можно достичь только за счет ликвидации приостановленных образовательных учреждений, не имеющих перспективы развития (</w:t>
      </w:r>
      <w:proofErr w:type="spellStart"/>
      <w:r>
        <w:rPr>
          <w:rFonts w:ascii="Times New Roman CYR" w:hAnsi="Times New Roman CYR" w:cs="Times New Roman CYR"/>
          <w:sz w:val="28"/>
          <w:szCs w:val="28"/>
        </w:rPr>
        <w:t>Интикульский</w:t>
      </w:r>
      <w:proofErr w:type="spellEnd"/>
      <w:r>
        <w:rPr>
          <w:rFonts w:ascii="Times New Roman CYR" w:hAnsi="Times New Roman CYR" w:cs="Times New Roman CYR"/>
          <w:sz w:val="28"/>
          <w:szCs w:val="28"/>
        </w:rPr>
        <w:t xml:space="preserve"> филиал МБОУ </w:t>
      </w:r>
      <w:proofErr w:type="spellStart"/>
      <w:r>
        <w:rPr>
          <w:rFonts w:ascii="Times New Roman CYR" w:hAnsi="Times New Roman CYR" w:cs="Times New Roman CYR"/>
          <w:sz w:val="28"/>
          <w:szCs w:val="28"/>
        </w:rPr>
        <w:t>Толстомысенской</w:t>
      </w:r>
      <w:proofErr w:type="spellEnd"/>
      <w:r>
        <w:rPr>
          <w:rFonts w:ascii="Times New Roman CYR" w:hAnsi="Times New Roman CYR" w:cs="Times New Roman CYR"/>
          <w:sz w:val="28"/>
          <w:szCs w:val="28"/>
        </w:rPr>
        <w:t xml:space="preserve"> СОШ № 7 и МБОУ </w:t>
      </w:r>
      <w:proofErr w:type="spellStart"/>
      <w:r>
        <w:rPr>
          <w:rFonts w:ascii="Times New Roman CYR" w:hAnsi="Times New Roman CYR" w:cs="Times New Roman CYR"/>
          <w:sz w:val="28"/>
          <w:szCs w:val="28"/>
        </w:rPr>
        <w:t>Куллогской</w:t>
      </w:r>
      <w:proofErr w:type="spellEnd"/>
      <w:r>
        <w:rPr>
          <w:rFonts w:ascii="Times New Roman CYR" w:hAnsi="Times New Roman CYR" w:cs="Times New Roman CYR"/>
          <w:sz w:val="28"/>
          <w:szCs w:val="28"/>
        </w:rPr>
        <w:t xml:space="preserve"> НОШ № 12). </w:t>
      </w:r>
      <w:proofErr w:type="gramStart"/>
      <w:r>
        <w:rPr>
          <w:rFonts w:ascii="Times New Roman CYR" w:hAnsi="Times New Roman CYR" w:cs="Times New Roman CYR"/>
          <w:sz w:val="28"/>
          <w:szCs w:val="28"/>
        </w:rPr>
        <w:t>Роста значения показателя до 100 % к 2019 году достичь по общеобразовательным учреждениям проблематично, ввиду того, что в показатели результативности внесены требования, которых невозможно достичь без серьезных финансовых затрат, не обоснованных на сегодняшний день: наличие соответствующего спортивного зала (три учреждения:</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МБОУ </w:t>
      </w:r>
      <w:proofErr w:type="spellStart"/>
      <w:r>
        <w:rPr>
          <w:rFonts w:ascii="Times New Roman CYR" w:hAnsi="Times New Roman CYR" w:cs="Times New Roman CYR"/>
          <w:sz w:val="28"/>
          <w:szCs w:val="28"/>
        </w:rPr>
        <w:t>Кульчекская</w:t>
      </w:r>
      <w:proofErr w:type="spellEnd"/>
      <w:r>
        <w:rPr>
          <w:rFonts w:ascii="Times New Roman CYR" w:hAnsi="Times New Roman CYR" w:cs="Times New Roman CYR"/>
          <w:sz w:val="28"/>
          <w:szCs w:val="28"/>
        </w:rPr>
        <w:t xml:space="preserve"> СОШ № 13 и два филиала средних школ не имеют соответствующего спортивного зала), наличие соответствующего актового или лекционного зала (только 7 учреждений имеют соответствующие условия), определенных требований, наличие дымовых </w:t>
      </w:r>
      <w:proofErr w:type="spellStart"/>
      <w:r>
        <w:rPr>
          <w:rFonts w:ascii="Times New Roman CYR" w:hAnsi="Times New Roman CYR" w:cs="Times New Roman CYR"/>
          <w:sz w:val="28"/>
          <w:szCs w:val="28"/>
        </w:rPr>
        <w:t>извещателей</w:t>
      </w:r>
      <w:proofErr w:type="spellEnd"/>
      <w:r>
        <w:rPr>
          <w:rFonts w:ascii="Times New Roman CYR" w:hAnsi="Times New Roman CYR" w:cs="Times New Roman CYR"/>
          <w:sz w:val="28"/>
          <w:szCs w:val="28"/>
        </w:rPr>
        <w:t xml:space="preserve"> (только 9 учреждений имеют соответствующие условия), наличие пожарных кранов и рукавов (только 5 учреждений имеют соответствующие условия).</w:t>
      </w:r>
      <w:proofErr w:type="gramEnd"/>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показателю </w:t>
      </w:r>
      <w:r>
        <w:rPr>
          <w:rFonts w:ascii="Times New Roman CYR" w:hAnsi="Times New Roman CYR" w:cs="Times New Roman CYR"/>
          <w:i/>
          <w:iCs/>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Pr>
          <w:rFonts w:ascii="Times New Roman CYR" w:hAnsi="Times New Roman CYR" w:cs="Times New Roman CYR"/>
          <w:sz w:val="28"/>
          <w:szCs w:val="28"/>
        </w:rPr>
        <w:t xml:space="preserve">наблюдается положительная динамика с 20 % в 2015году до 13,3 % в 2016 году. В 2016 году капитально отремонтированы 2 </w:t>
      </w:r>
      <w:proofErr w:type="gramStart"/>
      <w:r>
        <w:rPr>
          <w:rFonts w:ascii="Times New Roman CYR" w:hAnsi="Times New Roman CYR" w:cs="Times New Roman CYR"/>
          <w:sz w:val="28"/>
          <w:szCs w:val="28"/>
        </w:rPr>
        <w:t>общеобразовательных</w:t>
      </w:r>
      <w:proofErr w:type="gramEnd"/>
      <w:r>
        <w:rPr>
          <w:rFonts w:ascii="Times New Roman CYR" w:hAnsi="Times New Roman CYR" w:cs="Times New Roman CYR"/>
          <w:sz w:val="28"/>
          <w:szCs w:val="28"/>
        </w:rPr>
        <w:t xml:space="preserve"> учреждения: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средние школы. Далее прогнозируем уменьшение показателя до 6,67 % и ежегодный капитальный ремонт по одной школе  2017 – МБОУ </w:t>
      </w:r>
      <w:proofErr w:type="spellStart"/>
      <w:r>
        <w:rPr>
          <w:rFonts w:ascii="Times New Roman CYR" w:hAnsi="Times New Roman CYR" w:cs="Times New Roman CYR"/>
          <w:sz w:val="28"/>
          <w:szCs w:val="28"/>
        </w:rPr>
        <w:t>Дивненская</w:t>
      </w:r>
      <w:proofErr w:type="spellEnd"/>
      <w:r>
        <w:rPr>
          <w:rFonts w:ascii="Times New Roman CYR" w:hAnsi="Times New Roman CYR" w:cs="Times New Roman CYR"/>
          <w:sz w:val="28"/>
          <w:szCs w:val="28"/>
        </w:rPr>
        <w:t xml:space="preserve"> СОШ № 2, 2018 год – МБОУ </w:t>
      </w:r>
      <w:proofErr w:type="spellStart"/>
      <w:r>
        <w:rPr>
          <w:rFonts w:ascii="Times New Roman CYR" w:hAnsi="Times New Roman CYR" w:cs="Times New Roman CYR"/>
          <w:sz w:val="28"/>
          <w:szCs w:val="28"/>
        </w:rPr>
        <w:t>Легостаевская</w:t>
      </w:r>
      <w:proofErr w:type="spellEnd"/>
      <w:r>
        <w:rPr>
          <w:rFonts w:ascii="Times New Roman CYR" w:hAnsi="Times New Roman CYR" w:cs="Times New Roman CYR"/>
          <w:sz w:val="28"/>
          <w:szCs w:val="28"/>
        </w:rPr>
        <w:t xml:space="preserve"> СОШ № 11.</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рамках работы по улучшению условий учреждений рабочей группой, состоящей из специалистов отдела образования и муниципального казенного учреждения «Хозяйственная группа учреждений образования Новоселовского района» осуществляется постоянный мониторинг технического состояния зданий и сооружений общеобразовательных учреждений района и своевременное планирование </w:t>
      </w:r>
      <w:proofErr w:type="spellStart"/>
      <w:r>
        <w:rPr>
          <w:rFonts w:ascii="Times New Roman CYR" w:hAnsi="Times New Roman CYR" w:cs="Times New Roman CYR"/>
          <w:sz w:val="28"/>
          <w:szCs w:val="28"/>
        </w:rPr>
        <w:t>ремонтно</w:t>
      </w:r>
      <w:proofErr w:type="spellEnd"/>
      <w:r>
        <w:rPr>
          <w:rFonts w:ascii="Times New Roman CYR" w:hAnsi="Times New Roman CYR" w:cs="Times New Roman CYR"/>
          <w:sz w:val="28"/>
          <w:szCs w:val="28"/>
        </w:rPr>
        <w:t xml:space="preserve"> – строительных работ. В 2016 году отделом образования и образовательными учреждениями проделана большая работа по привлечению дополнительных средств через участие в краевых целевых программах:  в отчетном году получены средства из краевого бюджета на ремонт спортзала </w:t>
      </w:r>
      <w:proofErr w:type="spellStart"/>
      <w:r>
        <w:rPr>
          <w:rFonts w:ascii="Times New Roman CYR" w:hAnsi="Times New Roman CYR" w:cs="Times New Roman CYR"/>
          <w:sz w:val="28"/>
          <w:szCs w:val="28"/>
        </w:rPr>
        <w:t>Светлолобовской</w:t>
      </w:r>
      <w:proofErr w:type="spellEnd"/>
      <w:r>
        <w:rPr>
          <w:rFonts w:ascii="Times New Roman CYR" w:hAnsi="Times New Roman CYR" w:cs="Times New Roman CYR"/>
          <w:sz w:val="28"/>
          <w:szCs w:val="28"/>
        </w:rPr>
        <w:t xml:space="preserve"> школы – 3513,580 тыс. рублей,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из средств местного бюджета составило … тыс. рублей. </w:t>
      </w:r>
      <w:proofErr w:type="gramStart"/>
      <w:r>
        <w:rPr>
          <w:rFonts w:ascii="Times New Roman CYR" w:hAnsi="Times New Roman CYR" w:cs="Times New Roman CYR"/>
          <w:sz w:val="28"/>
          <w:szCs w:val="28"/>
        </w:rPr>
        <w:t xml:space="preserve">Кроме того муниципальному образованию были выделены средства субсидии на осуществление расходов, направленных на создание безопасных и комфортных условий функционировании объектов муниципальной собственности по ГП Красноярского края «Содействие развитию местного самоуправления» для осуществления капитального ремонта МБОУ </w:t>
      </w:r>
      <w:proofErr w:type="spellStart"/>
      <w:r>
        <w:rPr>
          <w:rFonts w:ascii="Times New Roman CYR" w:hAnsi="Times New Roman CYR" w:cs="Times New Roman CYR"/>
          <w:sz w:val="28"/>
          <w:szCs w:val="28"/>
        </w:rPr>
        <w:t>Новоселовской</w:t>
      </w:r>
      <w:proofErr w:type="spellEnd"/>
      <w:r>
        <w:rPr>
          <w:rFonts w:ascii="Times New Roman CYR" w:hAnsi="Times New Roman CYR" w:cs="Times New Roman CYR"/>
          <w:sz w:val="28"/>
          <w:szCs w:val="28"/>
        </w:rPr>
        <w:t xml:space="preserve"> СОШ № 5 в размере 7707,250 тыс. рублей –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местного бюджета – 77,072 тыс. рублей; </w:t>
      </w:r>
      <w:proofErr w:type="spellStart"/>
      <w:r>
        <w:rPr>
          <w:rFonts w:ascii="Times New Roman CYR" w:hAnsi="Times New Roman CYR" w:cs="Times New Roman CYR"/>
          <w:sz w:val="28"/>
          <w:szCs w:val="28"/>
        </w:rPr>
        <w:t>МБОУАнашенской</w:t>
      </w:r>
      <w:proofErr w:type="spellEnd"/>
      <w:r>
        <w:rPr>
          <w:rFonts w:ascii="Times New Roman CYR" w:hAnsi="Times New Roman CYR" w:cs="Times New Roman CYR"/>
          <w:sz w:val="28"/>
          <w:szCs w:val="28"/>
        </w:rPr>
        <w:t xml:space="preserve"> школы – 1641,592 тыс. рублей, местный бюджет – 16,406 тыс. рублей).</w:t>
      </w:r>
      <w:proofErr w:type="gramEnd"/>
      <w:r>
        <w:rPr>
          <w:rFonts w:ascii="Times New Roman CYR" w:hAnsi="Times New Roman CYR" w:cs="Times New Roman CYR"/>
          <w:sz w:val="28"/>
          <w:szCs w:val="28"/>
        </w:rPr>
        <w:t xml:space="preserve"> Всего из краевого бюджета в 2016 году на капитальный ремонт общеобразовательных учреждений было выделено – 12862,423 тыс. рублей.</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D845E5" w:rsidRDefault="002E4A81"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показатель </w:t>
      </w:r>
      <w:r w:rsidR="00D845E5">
        <w:rPr>
          <w:rFonts w:ascii="Times New Roman CYR" w:hAnsi="Times New Roman CYR" w:cs="Times New Roman CYR"/>
          <w:sz w:val="28"/>
          <w:szCs w:val="28"/>
        </w:rPr>
        <w:t>за 2016 год составила 87% и уменьшилась к уровню прошлого года на 1,32%, данный показатель до 2019 года планируется с положительной динамикой и в 2019 году запланирован в размере 89%.</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D845E5" w:rsidRDefault="001D2C53" w:rsidP="00093F2E">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По данному показателю </w:t>
      </w:r>
      <w:r w:rsidR="00D845E5">
        <w:rPr>
          <w:rFonts w:ascii="Times New Roman CYR" w:hAnsi="Times New Roman CYR" w:cs="Times New Roman CYR"/>
          <w:sz w:val="28"/>
          <w:szCs w:val="28"/>
        </w:rPr>
        <w:t xml:space="preserve">наблюдается  </w:t>
      </w:r>
      <w:r>
        <w:rPr>
          <w:rFonts w:ascii="Times New Roman CYR" w:hAnsi="Times New Roman CYR" w:cs="Times New Roman CYR"/>
          <w:sz w:val="28"/>
          <w:szCs w:val="28"/>
        </w:rPr>
        <w:t xml:space="preserve">положительная динамика: </w:t>
      </w:r>
      <w:r w:rsidR="00D845E5">
        <w:rPr>
          <w:rFonts w:ascii="Times New Roman CYR" w:hAnsi="Times New Roman CYR" w:cs="Times New Roman CYR"/>
          <w:sz w:val="28"/>
          <w:szCs w:val="28"/>
        </w:rPr>
        <w:t>с 11,8% в 2015 году до 11,</w:t>
      </w:r>
      <w:r>
        <w:rPr>
          <w:rFonts w:ascii="Times New Roman CYR" w:hAnsi="Times New Roman CYR" w:cs="Times New Roman CYR"/>
          <w:sz w:val="28"/>
          <w:szCs w:val="28"/>
        </w:rPr>
        <w:t>4</w:t>
      </w:r>
      <w:r w:rsidR="00D845E5">
        <w:rPr>
          <w:rFonts w:ascii="Times New Roman CYR" w:hAnsi="Times New Roman CYR" w:cs="Times New Roman CYR"/>
          <w:sz w:val="28"/>
          <w:szCs w:val="28"/>
        </w:rPr>
        <w:t xml:space="preserve"> в 201</w:t>
      </w:r>
      <w:r>
        <w:rPr>
          <w:rFonts w:ascii="Times New Roman CYR" w:hAnsi="Times New Roman CYR" w:cs="Times New Roman CYR"/>
          <w:sz w:val="28"/>
          <w:szCs w:val="28"/>
        </w:rPr>
        <w:t>6</w:t>
      </w:r>
      <w:r w:rsidR="00D845E5">
        <w:rPr>
          <w:rFonts w:ascii="Times New Roman CYR" w:hAnsi="Times New Roman CYR" w:cs="Times New Roman CYR"/>
          <w:sz w:val="28"/>
          <w:szCs w:val="28"/>
        </w:rPr>
        <w:t xml:space="preserve"> году. В 2016 году во вторую смену обучалось 194 человека (МБОУ </w:t>
      </w:r>
      <w:proofErr w:type="spellStart"/>
      <w:r w:rsidR="00D845E5">
        <w:rPr>
          <w:rFonts w:ascii="Times New Roman CYR" w:hAnsi="Times New Roman CYR" w:cs="Times New Roman CYR"/>
          <w:sz w:val="28"/>
          <w:szCs w:val="28"/>
        </w:rPr>
        <w:t>Новоселовская</w:t>
      </w:r>
      <w:proofErr w:type="spellEnd"/>
      <w:r w:rsidR="00D845E5">
        <w:rPr>
          <w:rFonts w:ascii="Times New Roman CYR" w:hAnsi="Times New Roman CYR" w:cs="Times New Roman CYR"/>
          <w:sz w:val="28"/>
          <w:szCs w:val="28"/>
        </w:rPr>
        <w:t xml:space="preserve"> СОШ № 5, МБОУ </w:t>
      </w:r>
      <w:proofErr w:type="spellStart"/>
      <w:r w:rsidR="00D845E5">
        <w:rPr>
          <w:rFonts w:ascii="Times New Roman CYR" w:hAnsi="Times New Roman CYR" w:cs="Times New Roman CYR"/>
          <w:sz w:val="28"/>
          <w:szCs w:val="28"/>
        </w:rPr>
        <w:t>Светлолобовская</w:t>
      </w:r>
      <w:proofErr w:type="spellEnd"/>
      <w:r w:rsidR="00D845E5">
        <w:rPr>
          <w:rFonts w:ascii="Times New Roman CYR" w:hAnsi="Times New Roman CYR" w:cs="Times New Roman CYR"/>
          <w:sz w:val="28"/>
          <w:szCs w:val="28"/>
        </w:rPr>
        <w:t xml:space="preserve"> СОШ № 6, МБОУ </w:t>
      </w:r>
      <w:proofErr w:type="spellStart"/>
      <w:r w:rsidR="00D845E5">
        <w:rPr>
          <w:rFonts w:ascii="Times New Roman CYR" w:hAnsi="Times New Roman CYR" w:cs="Times New Roman CYR"/>
          <w:sz w:val="28"/>
          <w:szCs w:val="28"/>
        </w:rPr>
        <w:t>Анашенская</w:t>
      </w:r>
      <w:proofErr w:type="spellEnd"/>
      <w:r w:rsidR="00D845E5">
        <w:rPr>
          <w:rFonts w:ascii="Times New Roman CYR" w:hAnsi="Times New Roman CYR" w:cs="Times New Roman CYR"/>
          <w:sz w:val="28"/>
          <w:szCs w:val="28"/>
        </w:rPr>
        <w:t xml:space="preserve"> СОШ № 1). В 2017 году значение показателя пл</w:t>
      </w:r>
      <w:r>
        <w:rPr>
          <w:rFonts w:ascii="Times New Roman CYR" w:hAnsi="Times New Roman CYR" w:cs="Times New Roman CYR"/>
          <w:sz w:val="28"/>
          <w:szCs w:val="28"/>
        </w:rPr>
        <w:t>анируется сохранить на уровне 2016 года, в 2018 – 2019гг</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 xml:space="preserve"> планируется снижение до </w:t>
      </w:r>
      <w:r w:rsidR="00D845E5">
        <w:rPr>
          <w:rFonts w:ascii="Times New Roman CYR" w:hAnsi="Times New Roman CYR" w:cs="Times New Roman CYR"/>
          <w:sz w:val="28"/>
          <w:szCs w:val="28"/>
        </w:rPr>
        <w:t xml:space="preserve"> 10,8%.</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D2C53">
        <w:rPr>
          <w:rFonts w:ascii="Times New Roman CYR" w:hAnsi="Times New Roman CYR" w:cs="Times New Roman CYR"/>
          <w:sz w:val="28"/>
          <w:szCs w:val="28"/>
        </w:rPr>
        <w:tab/>
      </w:r>
      <w:r>
        <w:rPr>
          <w:rFonts w:ascii="Times New Roman CYR" w:hAnsi="Times New Roman CYR" w:cs="Times New Roman CYR"/>
          <w:sz w:val="28"/>
          <w:szCs w:val="28"/>
        </w:rPr>
        <w:t>В 2016 году</w:t>
      </w:r>
      <w:r>
        <w:rPr>
          <w:rFonts w:ascii="Arial CYR" w:hAnsi="Arial CYR" w:cs="Arial CYR"/>
          <w:sz w:val="20"/>
          <w:szCs w:val="20"/>
        </w:rPr>
        <w:t xml:space="preserve"> </w:t>
      </w:r>
      <w:r>
        <w:rPr>
          <w:rFonts w:ascii="Times New Roman CYR" w:hAnsi="Times New Roman CYR" w:cs="Times New Roman CYR"/>
          <w:color w:val="000000"/>
          <w:sz w:val="28"/>
          <w:szCs w:val="28"/>
        </w:rPr>
        <w:t xml:space="preserve"> расходы бюджета муниципального образования на общее образование в расчете на 1 обучающегося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муниципальных  общеобразовательных учреждений к уровню 2015 года</w:t>
      </w:r>
      <w:r>
        <w:rPr>
          <w:rFonts w:ascii="Times New Roman CYR" w:hAnsi="Times New Roman CYR" w:cs="Times New Roman CYR"/>
          <w:sz w:val="28"/>
          <w:szCs w:val="28"/>
        </w:rPr>
        <w:t xml:space="preserve"> уменьшились в 3,37 раза и составили 37,2 рублей. Уменьшение связано с изменением методики расчета показателя. В 2016 году включались расходы только местного бюджета, в 2015 году включались средства местного, краевого бюджетов и родительской платы за питание детей.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D845E5" w:rsidRDefault="001D2C53" w:rsidP="00093F2E">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данному показателю </w:t>
      </w:r>
      <w:r w:rsidR="00D845E5">
        <w:rPr>
          <w:rFonts w:ascii="Times New Roman CYR" w:hAnsi="Times New Roman CYR" w:cs="Times New Roman CYR"/>
          <w:sz w:val="28"/>
          <w:szCs w:val="28"/>
        </w:rPr>
        <w:t xml:space="preserve"> с 2013 года наблюдается стабильное сохранение значения на уровне 94,4%. Высокий охват </w:t>
      </w:r>
      <w:proofErr w:type="gramStart"/>
      <w:r w:rsidR="00D845E5">
        <w:rPr>
          <w:rFonts w:ascii="Times New Roman CYR" w:hAnsi="Times New Roman CYR" w:cs="Times New Roman CYR"/>
          <w:sz w:val="28"/>
          <w:szCs w:val="28"/>
        </w:rPr>
        <w:t>детей</w:t>
      </w:r>
      <w:proofErr w:type="gramEnd"/>
      <w:r w:rsidR="00D845E5">
        <w:rPr>
          <w:rFonts w:ascii="Times New Roman CYR" w:hAnsi="Times New Roman CYR" w:cs="Times New Roman CYR"/>
          <w:sz w:val="28"/>
          <w:szCs w:val="28"/>
        </w:rPr>
        <w:t xml:space="preserve"> дополнительным образованием достигнут за счет целевого планирования, а также утверждения и контроля муниципальных заданий.</w:t>
      </w:r>
    </w:p>
    <w:p w:rsidR="00D845E5" w:rsidRDefault="00D845E5" w:rsidP="00093F2E">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Дополнительным образованием в районе охвачено 2183 ребенка, что  составляет 94,4 % от общей численности детей в возрасте от 5 до 18 лет. </w:t>
      </w:r>
    </w:p>
    <w:p w:rsidR="00D845E5" w:rsidRDefault="00D845E5" w:rsidP="00093F2E">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районе функционируют 3 учреждения дополнительного образования: МБОУ ДО «</w:t>
      </w:r>
      <w:proofErr w:type="spellStart"/>
      <w:r>
        <w:rPr>
          <w:rFonts w:ascii="Times New Roman CYR" w:hAnsi="Times New Roman CYR" w:cs="Times New Roman CYR"/>
          <w:sz w:val="28"/>
          <w:szCs w:val="28"/>
        </w:rPr>
        <w:t>Новосёловский</w:t>
      </w:r>
      <w:proofErr w:type="spellEnd"/>
      <w:r>
        <w:rPr>
          <w:rFonts w:ascii="Times New Roman CYR" w:hAnsi="Times New Roman CYR" w:cs="Times New Roman CYR"/>
          <w:sz w:val="28"/>
          <w:szCs w:val="28"/>
        </w:rPr>
        <w:t xml:space="preserve"> Центр творчества и туризма», МБОУ ДО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ДЮСШ», МБОУ ДО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ДШИ», которых занимается 718 детей. </w:t>
      </w:r>
    </w:p>
    <w:p w:rsidR="00D845E5" w:rsidRDefault="00D845E5" w:rsidP="00093F2E">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МБОУ ДО «</w:t>
      </w:r>
      <w:proofErr w:type="spellStart"/>
      <w:r>
        <w:rPr>
          <w:rFonts w:ascii="Times New Roman CYR" w:hAnsi="Times New Roman CYR" w:cs="Times New Roman CYR"/>
          <w:sz w:val="28"/>
          <w:szCs w:val="28"/>
        </w:rPr>
        <w:t>Новосёловский</w:t>
      </w:r>
      <w:proofErr w:type="spellEnd"/>
      <w:r>
        <w:rPr>
          <w:rFonts w:ascii="Times New Roman CYR" w:hAnsi="Times New Roman CYR" w:cs="Times New Roman CYR"/>
          <w:sz w:val="28"/>
          <w:szCs w:val="28"/>
        </w:rPr>
        <w:t xml:space="preserve"> Центр творчества и туризма» реализует 12 лицензированных образовательных программ по 5 направлениям: спортивно-техническое, художественно-эстетическое, эколого-биологическое, социально-педагогическое, туристско-краеведческое, в которых занято 248 детей.</w:t>
      </w:r>
    </w:p>
    <w:p w:rsidR="00D845E5" w:rsidRDefault="00D845E5" w:rsidP="00093F2E">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МБОУ ДОД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ДЮСШ» ведется работа 6 объединений спортивной направленности, в которых занято 320 детей.</w:t>
      </w:r>
    </w:p>
    <w:p w:rsidR="00D845E5" w:rsidRDefault="00D845E5" w:rsidP="00093F2E">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МБОУ ДОД </w:t>
      </w:r>
      <w:proofErr w:type="spellStart"/>
      <w:r>
        <w:rPr>
          <w:rFonts w:ascii="Times New Roman CYR" w:hAnsi="Times New Roman CYR" w:cs="Times New Roman CYR"/>
          <w:sz w:val="28"/>
          <w:szCs w:val="28"/>
        </w:rPr>
        <w:t>Новоселовской</w:t>
      </w:r>
      <w:proofErr w:type="spellEnd"/>
      <w:r>
        <w:rPr>
          <w:rFonts w:ascii="Times New Roman CYR" w:hAnsi="Times New Roman CYR" w:cs="Times New Roman CYR"/>
          <w:sz w:val="28"/>
          <w:szCs w:val="28"/>
        </w:rPr>
        <w:t xml:space="preserve"> ДШИ работает 2 объединения по художественному и музыкальному направлениям, в которых занимается 150 детей.</w:t>
      </w:r>
    </w:p>
    <w:p w:rsidR="00D845E5" w:rsidRDefault="00D845E5" w:rsidP="00093F2E">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программы дополнительного образования детей реализуются на базе общеобразовательных учреждений района, с охватом 1465 детей. В школах ведется работа по 51 программе дополнительного образования детей. По таким направлениям как эколого-биологические, туристско-краеведческие, </w:t>
      </w:r>
      <w:r>
        <w:rPr>
          <w:rFonts w:ascii="Times New Roman CYR" w:hAnsi="Times New Roman CYR" w:cs="Times New Roman CYR"/>
          <w:sz w:val="28"/>
          <w:szCs w:val="28"/>
        </w:rPr>
        <w:lastRenderedPageBreak/>
        <w:t>спортивные, художественного творчества, технического творчества и интеллектуальным.</w:t>
      </w:r>
    </w:p>
    <w:p w:rsidR="001D2C53" w:rsidRDefault="001D2C53" w:rsidP="00093F2E">
      <w:pPr>
        <w:autoSpaceDE w:val="0"/>
        <w:autoSpaceDN w:val="0"/>
        <w:adjustRightInd w:val="0"/>
        <w:spacing w:after="0" w:line="240" w:lineRule="auto"/>
        <w:jc w:val="both"/>
        <w:rPr>
          <w:rFonts w:ascii="Arial" w:hAnsi="Arial" w:cs="Arial"/>
          <w:sz w:val="20"/>
          <w:szCs w:val="20"/>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IV. </w:t>
      </w:r>
      <w:r>
        <w:rPr>
          <w:rFonts w:ascii="Times New Roman CYR" w:hAnsi="Times New Roman CYR" w:cs="Times New Roman CYR"/>
          <w:b/>
          <w:bCs/>
          <w:color w:val="000000"/>
          <w:sz w:val="28"/>
          <w:szCs w:val="28"/>
        </w:rPr>
        <w:t>Культура</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клубами и учреждениями клубного типа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фактической обеспеченности учреждениями культуры в районе от нормативной потребности в целом по району составляет более 100%.</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90"/>
        <w:gridCol w:w="2212"/>
        <w:gridCol w:w="2986"/>
      </w:tblGrid>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учреждения</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мест по норме</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мест фактически</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фактической обеспеченности учреждениями культуры в (</w:t>
            </w:r>
            <w:proofErr w:type="spellStart"/>
            <w:proofErr w:type="gramStart"/>
            <w:r>
              <w:rPr>
                <w:rFonts w:ascii="Times New Roman CYR" w:hAnsi="Times New Roman CYR" w:cs="Times New Roman CYR"/>
                <w:sz w:val="28"/>
                <w:szCs w:val="28"/>
              </w:rPr>
              <w:t>муници-пальном</w:t>
            </w:r>
            <w:proofErr w:type="spellEnd"/>
            <w:proofErr w:type="gramEnd"/>
            <w:r>
              <w:rPr>
                <w:rFonts w:ascii="Times New Roman CYR" w:hAnsi="Times New Roman CYR" w:cs="Times New Roman CYR"/>
                <w:sz w:val="28"/>
                <w:szCs w:val="28"/>
              </w:rPr>
              <w:t xml:space="preserve"> районе) от нормативной потребности</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Анашенский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Куллогский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Приморский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Табажакский</w:t>
            </w:r>
            <w:proofErr w:type="spellEnd"/>
            <w:r>
              <w:rPr>
                <w:rFonts w:ascii="Times New Roman CYR" w:hAnsi="Times New Roman CYR" w:cs="Times New Roman CYR"/>
                <w:sz w:val="28"/>
                <w:szCs w:val="28"/>
              </w:rPr>
              <w:t xml:space="preserve">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Тальцовский</w:t>
            </w:r>
            <w:proofErr w:type="spellEnd"/>
            <w:r>
              <w:rPr>
                <w:rFonts w:ascii="Times New Roman CYR" w:hAnsi="Times New Roman CYR" w:cs="Times New Roman CYR"/>
                <w:sz w:val="28"/>
                <w:szCs w:val="28"/>
              </w:rPr>
              <w:t xml:space="preserve">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Тесинский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Бараитский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205</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137</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Камчатский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Комский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244</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122</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Ч-</w:t>
            </w:r>
            <w:proofErr w:type="spellStart"/>
            <w:r>
              <w:rPr>
                <w:rFonts w:ascii="Times New Roman CYR" w:hAnsi="Times New Roman CYR" w:cs="Times New Roman CYR"/>
                <w:sz w:val="28"/>
                <w:szCs w:val="28"/>
              </w:rPr>
              <w:t>Комский</w:t>
            </w:r>
            <w:proofErr w:type="spellEnd"/>
            <w:r>
              <w:rPr>
                <w:rFonts w:ascii="Times New Roman CYR" w:hAnsi="Times New Roman CYR" w:cs="Times New Roman CYR"/>
                <w:sz w:val="28"/>
                <w:szCs w:val="28"/>
              </w:rPr>
              <w:t xml:space="preserve"> КСК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Кульчекский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Енисейский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Бескишенский</w:t>
            </w:r>
            <w:proofErr w:type="spellEnd"/>
            <w:r>
              <w:rPr>
                <w:rFonts w:ascii="Times New Roman CYR" w:hAnsi="Times New Roman CYR" w:cs="Times New Roman CYR"/>
                <w:sz w:val="28"/>
                <w:szCs w:val="28"/>
              </w:rPr>
              <w:t xml:space="preserve">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Легостаевский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133</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Увалинский</w:t>
            </w:r>
            <w:proofErr w:type="spellEnd"/>
            <w:r>
              <w:rPr>
                <w:rFonts w:ascii="Times New Roman CYR" w:hAnsi="Times New Roman CYR" w:cs="Times New Roman CYR"/>
                <w:sz w:val="28"/>
                <w:szCs w:val="28"/>
              </w:rPr>
              <w:t xml:space="preserve">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Светлолобовский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Николаевский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Карелинский</w:t>
            </w:r>
            <w:proofErr w:type="spellEnd"/>
            <w:r>
              <w:rPr>
                <w:rFonts w:ascii="Times New Roman CYR" w:hAnsi="Times New Roman CYR" w:cs="Times New Roman CYR"/>
                <w:sz w:val="28"/>
                <w:szCs w:val="28"/>
              </w:rPr>
              <w:t xml:space="preserve">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w:t>
            </w:r>
            <w:proofErr w:type="spellStart"/>
            <w:r>
              <w:rPr>
                <w:rFonts w:ascii="Times New Roman CYR" w:hAnsi="Times New Roman CYR" w:cs="Times New Roman CYR"/>
                <w:sz w:val="28"/>
                <w:szCs w:val="28"/>
              </w:rPr>
              <w:t>Мысенский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133</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Интикульский</w:t>
            </w:r>
            <w:proofErr w:type="spellEnd"/>
            <w:r>
              <w:rPr>
                <w:rFonts w:ascii="Times New Roman CYR" w:hAnsi="Times New Roman CYR" w:cs="Times New Roman CYR"/>
                <w:sz w:val="28"/>
                <w:szCs w:val="28"/>
              </w:rPr>
              <w:t xml:space="preserve"> КСК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Аешинский</w:t>
            </w:r>
            <w:proofErr w:type="spellEnd"/>
            <w:r>
              <w:rPr>
                <w:rFonts w:ascii="Times New Roman CYR" w:hAnsi="Times New Roman CYR" w:cs="Times New Roman CYR"/>
                <w:sz w:val="28"/>
                <w:szCs w:val="28"/>
              </w:rPr>
              <w:t xml:space="preserve">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Чулымский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133</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Березовский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Дивненский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Курганский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Куртакский</w:t>
            </w:r>
            <w:proofErr w:type="spellEnd"/>
            <w:r>
              <w:rPr>
                <w:rFonts w:ascii="Times New Roman CYR" w:hAnsi="Times New Roman CYR" w:cs="Times New Roman CYR"/>
                <w:sz w:val="28"/>
                <w:szCs w:val="28"/>
              </w:rPr>
              <w:t xml:space="preserve"> СДК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Чесноковский</w:t>
            </w:r>
            <w:proofErr w:type="spellEnd"/>
            <w:r>
              <w:rPr>
                <w:rFonts w:ascii="Times New Roman CYR" w:hAnsi="Times New Roman CYR" w:cs="Times New Roman CYR"/>
                <w:sz w:val="28"/>
                <w:szCs w:val="28"/>
              </w:rPr>
              <w:t xml:space="preserve"> СК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РДК</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400</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67</w:t>
            </w:r>
          </w:p>
        </w:tc>
      </w:tr>
      <w:tr w:rsidR="00D845E5" w:rsidTr="001D2C53">
        <w:tblPrEx>
          <w:tblCellMar>
            <w:top w:w="0" w:type="dxa"/>
            <w:bottom w:w="0" w:type="dxa"/>
          </w:tblCellMar>
        </w:tblPrEx>
        <w:tc>
          <w:tcPr>
            <w:tcW w:w="2518" w:type="dxa"/>
          </w:tcPr>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ИТОГО:</w:t>
            </w:r>
          </w:p>
        </w:tc>
        <w:tc>
          <w:tcPr>
            <w:tcW w:w="1890" w:type="dxa"/>
          </w:tcPr>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3800</w:t>
            </w:r>
          </w:p>
        </w:tc>
        <w:tc>
          <w:tcPr>
            <w:tcW w:w="2212" w:type="dxa"/>
          </w:tcPr>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4959</w:t>
            </w:r>
          </w:p>
        </w:tc>
        <w:tc>
          <w:tcPr>
            <w:tcW w:w="2986" w:type="dxa"/>
          </w:tcPr>
          <w:p w:rsidR="00D845E5" w:rsidRDefault="00D845E5" w:rsidP="00093F2E">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131</w:t>
            </w:r>
          </w:p>
        </w:tc>
      </w:tr>
    </w:tbl>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библиотеками</w:t>
      </w:r>
    </w:p>
    <w:p w:rsidR="00D845E5" w:rsidRDefault="00D845E5" w:rsidP="00093F2E">
      <w:pPr>
        <w:autoSpaceDE w:val="0"/>
        <w:autoSpaceDN w:val="0"/>
        <w:adjustRightInd w:val="0"/>
        <w:spacing w:after="0" w:line="240" w:lineRule="auto"/>
        <w:ind w:firstLine="708"/>
        <w:jc w:val="both"/>
        <w:rPr>
          <w:rFonts w:ascii="Arial" w:hAnsi="Arial" w:cs="Arial"/>
          <w:sz w:val="16"/>
          <w:szCs w:val="16"/>
        </w:rPr>
      </w:pPr>
      <w:r>
        <w:rPr>
          <w:rFonts w:ascii="Times New Roman CYR" w:hAnsi="Times New Roman CYR" w:cs="Times New Roman CYR"/>
          <w:sz w:val="28"/>
          <w:szCs w:val="28"/>
        </w:rPr>
        <w:t>Уровень фактической обеспеченности учреждениями культуры (библиотеками) в районе составляет 96% от нормативной потребности. Количество общедоступных библиотек всех форм собственности составляет 24 единицы, необх</w:t>
      </w:r>
      <w:r w:rsidR="001D2C53">
        <w:rPr>
          <w:rFonts w:ascii="Times New Roman CYR" w:hAnsi="Times New Roman CYR" w:cs="Times New Roman CYR"/>
          <w:sz w:val="28"/>
          <w:szCs w:val="28"/>
        </w:rPr>
        <w:t>о</w:t>
      </w:r>
      <w:r>
        <w:rPr>
          <w:rFonts w:ascii="Times New Roman CYR" w:hAnsi="Times New Roman CYR" w:cs="Times New Roman CYR"/>
          <w:sz w:val="28"/>
          <w:szCs w:val="28"/>
        </w:rPr>
        <w:t>димо 25 единиц</w:t>
      </w:r>
      <w:r>
        <w:rPr>
          <w:rFonts w:ascii="Arial CYR" w:hAnsi="Arial CYR" w:cs="Arial CYR"/>
          <w:sz w:val="16"/>
          <w:szCs w:val="16"/>
        </w:rPr>
        <w:t>.</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парками культуры и отдыха</w:t>
      </w:r>
    </w:p>
    <w:p w:rsidR="00D845E5" w:rsidRDefault="00D845E5" w:rsidP="00093F2E">
      <w:pPr>
        <w:autoSpaceDE w:val="0"/>
        <w:autoSpaceDN w:val="0"/>
        <w:adjustRightInd w:val="0"/>
        <w:spacing w:after="0" w:line="240" w:lineRule="auto"/>
        <w:jc w:val="both"/>
        <w:rPr>
          <w:rFonts w:ascii="Times New Roman TUR" w:hAnsi="Times New Roman TUR" w:cs="Times New Roman TUR"/>
          <w:sz w:val="28"/>
          <w:szCs w:val="28"/>
          <w:lang w:val="tr-TR"/>
        </w:rPr>
      </w:pPr>
      <w:r>
        <w:rPr>
          <w:rFonts w:ascii="Times New Roman CYR" w:hAnsi="Times New Roman CYR" w:cs="Times New Roman CYR"/>
          <w:sz w:val="28"/>
          <w:szCs w:val="28"/>
        </w:rPr>
        <w:t>Парков</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культуры</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и</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отдыха</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на</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территории</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района</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нет</w:t>
      </w:r>
      <w:r>
        <w:rPr>
          <w:rFonts w:ascii="Times New Roman TUR" w:hAnsi="Times New Roman TUR" w:cs="Times New Roman TUR"/>
          <w:sz w:val="28"/>
          <w:szCs w:val="28"/>
          <w:lang w:val="tr-TR"/>
        </w:rPr>
        <w:t>.</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D845E5" w:rsidRDefault="00D845E5" w:rsidP="00093F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2016 году составила 10,9%. </w:t>
      </w:r>
    </w:p>
    <w:p w:rsidR="00D845E5" w:rsidRDefault="00D845E5" w:rsidP="00093F2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районе 55 </w:t>
      </w:r>
      <w:proofErr w:type="gramStart"/>
      <w:r>
        <w:rPr>
          <w:rFonts w:ascii="Times New Roman CYR" w:hAnsi="Times New Roman CYR" w:cs="Times New Roman CYR"/>
          <w:sz w:val="28"/>
          <w:szCs w:val="28"/>
        </w:rPr>
        <w:t>зданий</w:t>
      </w:r>
      <w:proofErr w:type="gramEnd"/>
      <w:r>
        <w:rPr>
          <w:rFonts w:ascii="Times New Roman CYR" w:hAnsi="Times New Roman CYR" w:cs="Times New Roman CYR"/>
          <w:sz w:val="28"/>
          <w:szCs w:val="28"/>
        </w:rPr>
        <w:t xml:space="preserve"> в которых расп</w:t>
      </w:r>
      <w:r w:rsidR="004C3386">
        <w:rPr>
          <w:rFonts w:ascii="Times New Roman CYR" w:hAnsi="Times New Roman CYR" w:cs="Times New Roman CYR"/>
          <w:sz w:val="28"/>
          <w:szCs w:val="28"/>
        </w:rPr>
        <w:t>о</w:t>
      </w:r>
      <w:r>
        <w:rPr>
          <w:rFonts w:ascii="Times New Roman CYR" w:hAnsi="Times New Roman CYR" w:cs="Times New Roman CYR"/>
          <w:sz w:val="28"/>
          <w:szCs w:val="28"/>
        </w:rPr>
        <w:t>лагаются учреждения культуры, из них в трех зданиях требуется капитальный ремонт (</w:t>
      </w:r>
      <w:proofErr w:type="spellStart"/>
      <w:r>
        <w:rPr>
          <w:rFonts w:ascii="Times New Roman CYR" w:hAnsi="Times New Roman CYR" w:cs="Times New Roman CYR"/>
          <w:sz w:val="28"/>
          <w:szCs w:val="28"/>
        </w:rPr>
        <w:t>Анашенский</w:t>
      </w:r>
      <w:proofErr w:type="spellEnd"/>
      <w:r>
        <w:rPr>
          <w:rFonts w:ascii="Times New Roman CYR" w:hAnsi="Times New Roman CYR" w:cs="Times New Roman CYR"/>
          <w:sz w:val="28"/>
          <w:szCs w:val="28"/>
        </w:rPr>
        <w:t xml:space="preserve"> СДК, </w:t>
      </w:r>
      <w:proofErr w:type="spellStart"/>
      <w:r>
        <w:rPr>
          <w:rFonts w:ascii="Times New Roman CYR" w:hAnsi="Times New Roman CYR" w:cs="Times New Roman CYR"/>
          <w:sz w:val="28"/>
          <w:szCs w:val="28"/>
        </w:rPr>
        <w:t>Чулымский</w:t>
      </w:r>
      <w:proofErr w:type="spellEnd"/>
      <w:r>
        <w:rPr>
          <w:rFonts w:ascii="Times New Roman CYR" w:hAnsi="Times New Roman CYR" w:cs="Times New Roman CYR"/>
          <w:sz w:val="28"/>
          <w:szCs w:val="28"/>
        </w:rPr>
        <w:t xml:space="preserve"> СДК, </w:t>
      </w:r>
      <w:proofErr w:type="spellStart"/>
      <w:r>
        <w:rPr>
          <w:rFonts w:ascii="Times New Roman CYR" w:hAnsi="Times New Roman CYR" w:cs="Times New Roman CYR"/>
          <w:sz w:val="28"/>
          <w:szCs w:val="28"/>
        </w:rPr>
        <w:t>Новоселовский</w:t>
      </w:r>
      <w:proofErr w:type="spellEnd"/>
      <w:r>
        <w:rPr>
          <w:rFonts w:ascii="Times New Roman CYR" w:hAnsi="Times New Roman CYR" w:cs="Times New Roman CYR"/>
          <w:sz w:val="28"/>
          <w:szCs w:val="28"/>
        </w:rPr>
        <w:t xml:space="preserve"> РДК "Юность", </w:t>
      </w:r>
      <w:proofErr w:type="spellStart"/>
      <w:r>
        <w:rPr>
          <w:rFonts w:ascii="Times New Roman CYR" w:hAnsi="Times New Roman CYR" w:cs="Times New Roman CYR"/>
          <w:sz w:val="28"/>
          <w:szCs w:val="28"/>
        </w:rPr>
        <w:t>Легостаевский</w:t>
      </w:r>
      <w:proofErr w:type="spellEnd"/>
      <w:r>
        <w:rPr>
          <w:rFonts w:ascii="Times New Roman CYR" w:hAnsi="Times New Roman CYR" w:cs="Times New Roman CYR"/>
          <w:sz w:val="28"/>
          <w:szCs w:val="28"/>
        </w:rPr>
        <w:t xml:space="preserve"> СДК, ДШИ) и одно находится в аварийном состоянии (</w:t>
      </w:r>
      <w:proofErr w:type="spellStart"/>
      <w:r>
        <w:rPr>
          <w:rFonts w:ascii="Times New Roman CYR" w:hAnsi="Times New Roman CYR" w:cs="Times New Roman CYR"/>
          <w:sz w:val="28"/>
          <w:szCs w:val="28"/>
        </w:rPr>
        <w:t>Комский</w:t>
      </w:r>
      <w:proofErr w:type="spellEnd"/>
      <w:r>
        <w:rPr>
          <w:rFonts w:ascii="Times New Roman CYR" w:hAnsi="Times New Roman CYR" w:cs="Times New Roman CYR"/>
          <w:sz w:val="28"/>
          <w:szCs w:val="28"/>
        </w:rPr>
        <w:t xml:space="preserve"> СДК), </w:t>
      </w:r>
      <w:proofErr w:type="spellStart"/>
      <w:r>
        <w:rPr>
          <w:rFonts w:ascii="Times New Roman CYR" w:hAnsi="Times New Roman CYR" w:cs="Times New Roman CYR"/>
          <w:sz w:val="28"/>
          <w:szCs w:val="28"/>
        </w:rPr>
        <w:t>следвательно</w:t>
      </w:r>
      <w:proofErr w:type="spellEnd"/>
      <w:r>
        <w:rPr>
          <w:rFonts w:ascii="Times New Roman CYR" w:hAnsi="Times New Roman CYR" w:cs="Times New Roman CYR"/>
          <w:sz w:val="28"/>
          <w:szCs w:val="28"/>
        </w:rPr>
        <w:t xml:space="preserve"> 6/55=10,9%.</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D845E5" w:rsidRPr="00D845E5" w:rsidRDefault="00D845E5" w:rsidP="00093F2E">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lastRenderedPageBreak/>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2015 г. и на перспективу до 2018 года составляет - 0%, так как объекты культурного </w:t>
      </w:r>
      <w:proofErr w:type="gramStart"/>
      <w:r>
        <w:rPr>
          <w:rFonts w:ascii="Times New Roman CYR" w:hAnsi="Times New Roman CYR" w:cs="Times New Roman CYR"/>
          <w:sz w:val="28"/>
          <w:szCs w:val="28"/>
        </w:rPr>
        <w:t>наследия</w:t>
      </w:r>
      <w:proofErr w:type="gramEnd"/>
      <w:r>
        <w:rPr>
          <w:rFonts w:ascii="Times New Roman CYR" w:hAnsi="Times New Roman CYR" w:cs="Times New Roman CYR"/>
          <w:sz w:val="28"/>
          <w:szCs w:val="28"/>
        </w:rPr>
        <w:t xml:space="preserve">  требующие консервации или ре</w:t>
      </w:r>
      <w:r w:rsidR="004C3386">
        <w:rPr>
          <w:rFonts w:ascii="Times New Roman CYR" w:hAnsi="Times New Roman CYR" w:cs="Times New Roman CYR"/>
          <w:sz w:val="28"/>
          <w:szCs w:val="28"/>
        </w:rPr>
        <w:t>ста</w:t>
      </w:r>
      <w:r>
        <w:rPr>
          <w:rFonts w:ascii="Times New Roman CYR" w:hAnsi="Times New Roman CYR" w:cs="Times New Roman CYR"/>
          <w:sz w:val="28"/>
          <w:szCs w:val="28"/>
        </w:rPr>
        <w:t>врации отсутствуют.</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 </w:t>
      </w:r>
      <w:r>
        <w:rPr>
          <w:rFonts w:ascii="Times New Roman CYR" w:hAnsi="Times New Roman CYR" w:cs="Times New Roman CYR"/>
          <w:b/>
          <w:bCs/>
          <w:color w:val="000000"/>
          <w:sz w:val="28"/>
          <w:szCs w:val="28"/>
        </w:rPr>
        <w:t>Физическая культура и спорт</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D845E5" w:rsidRDefault="00D845E5" w:rsidP="00093F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прошлым годом численность занимающихся физической культурой и спортом увеличилась на 205 человек и составила 3922 человека.</w:t>
      </w:r>
    </w:p>
    <w:p w:rsidR="00D845E5" w:rsidRDefault="00D845E5" w:rsidP="00093F2E">
      <w:pPr>
        <w:widowControl w:val="0"/>
        <w:autoSpaceDE w:val="0"/>
        <w:autoSpaceDN w:val="0"/>
        <w:adjustRightInd w:val="0"/>
        <w:spacing w:after="0" w:line="240" w:lineRule="auto"/>
        <w:jc w:val="both"/>
        <w:rPr>
          <w:rFonts w:ascii="Arial CYR" w:hAnsi="Arial CYR" w:cs="Arial CYR"/>
          <w:sz w:val="16"/>
          <w:szCs w:val="16"/>
        </w:rPr>
      </w:pPr>
      <w:r>
        <w:rPr>
          <w:rFonts w:ascii="Times New Roman CYR" w:hAnsi="Times New Roman CYR" w:cs="Times New Roman CYR"/>
          <w:sz w:val="28"/>
          <w:szCs w:val="28"/>
        </w:rPr>
        <w:t xml:space="preserve">Доля населения, систематически </w:t>
      </w:r>
      <w:proofErr w:type="gramStart"/>
      <w:r>
        <w:rPr>
          <w:rFonts w:ascii="Times New Roman CYR" w:hAnsi="Times New Roman CYR" w:cs="Times New Roman CYR"/>
          <w:sz w:val="28"/>
          <w:szCs w:val="28"/>
        </w:rPr>
        <w:t>занимающихся</w:t>
      </w:r>
      <w:proofErr w:type="gramEnd"/>
      <w:r>
        <w:rPr>
          <w:rFonts w:ascii="Times New Roman CYR" w:hAnsi="Times New Roman CYR" w:cs="Times New Roman CYR"/>
          <w:sz w:val="28"/>
          <w:szCs w:val="28"/>
        </w:rPr>
        <w:t xml:space="preserve"> физической культурой и спортом в 2016 году</w:t>
      </w:r>
      <w:r w:rsidR="004C3386">
        <w:rPr>
          <w:rFonts w:ascii="Times New Roman CYR" w:hAnsi="Times New Roman CYR" w:cs="Times New Roman CYR"/>
          <w:sz w:val="28"/>
          <w:szCs w:val="28"/>
        </w:rPr>
        <w:t>,</w:t>
      </w:r>
      <w:r>
        <w:rPr>
          <w:rFonts w:ascii="Times New Roman CYR" w:hAnsi="Times New Roman CYR" w:cs="Times New Roman CYR"/>
          <w:sz w:val="28"/>
          <w:szCs w:val="28"/>
        </w:rPr>
        <w:t xml:space="preserve"> составила 32%, что выше показателя прошлого года на 1,64%. В перспективе до 2019 года планируется рост показателя: ежегодно на 2%.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23.1. </w:t>
      </w:r>
      <w:r>
        <w:rPr>
          <w:rFonts w:ascii="Times New Roman CYR" w:hAnsi="Times New Roman CYR" w:cs="Times New Roman CYR"/>
          <w:b/>
          <w:bCs/>
          <w:color w:val="000000"/>
          <w:sz w:val="28"/>
          <w:szCs w:val="28"/>
        </w:rPr>
        <w:t xml:space="preserve">Доля </w:t>
      </w:r>
      <w:proofErr w:type="gramStart"/>
      <w:r>
        <w:rPr>
          <w:rFonts w:ascii="Times New Roman CYR" w:hAnsi="Times New Roman CYR" w:cs="Times New Roman CYR"/>
          <w:b/>
          <w:bCs/>
          <w:color w:val="000000"/>
          <w:sz w:val="28"/>
          <w:szCs w:val="28"/>
        </w:rPr>
        <w:t>обучающихся</w:t>
      </w:r>
      <w:proofErr w:type="gramEnd"/>
      <w:r>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D845E5" w:rsidRDefault="00D845E5" w:rsidP="00093F2E">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Доля обучающихся, систематически занимающихся физической культурой и спортом, в общей численности обучающихся составила в 2016 году 91%, что ниже показателя прошлого года на 0,66%, уменьшение показателя за счет небольшого увеличения численности обучающихся (25 человек), систематически занимающихся физической культурой и спортом и   увеличения общей численности населения от 0 до 17 лет на 50 человек.</w:t>
      </w:r>
      <w:proofErr w:type="gramEnd"/>
      <w:r>
        <w:rPr>
          <w:rFonts w:ascii="Times New Roman CYR" w:hAnsi="Times New Roman CYR" w:cs="Times New Roman CYR"/>
          <w:sz w:val="28"/>
          <w:szCs w:val="28"/>
        </w:rPr>
        <w:t xml:space="preserve">  В натуральном выражении численность обучающихся, систематически занимающихся физической культурой и спортом составляет - 2927 человек. В перспективе до 2019 года данный показатель планируется с незначительным увеличением и в2019 году составит 3018 человек или 91,73%.</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 </w:t>
      </w:r>
      <w:r>
        <w:rPr>
          <w:rFonts w:ascii="Times New Roman CYR" w:hAnsi="Times New Roman CYR" w:cs="Times New Roman CYR"/>
          <w:b/>
          <w:bCs/>
          <w:color w:val="000000"/>
          <w:sz w:val="28"/>
          <w:szCs w:val="28"/>
        </w:rPr>
        <w:t>Жилищное строительство и обеспечение граждан жильем</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w:t>
      </w:r>
      <w:r w:rsidR="004C3386">
        <w:rPr>
          <w:rFonts w:ascii="Times New Roman CYR" w:hAnsi="Times New Roman CYR" w:cs="Times New Roman CYR"/>
          <w:sz w:val="28"/>
          <w:szCs w:val="28"/>
        </w:rPr>
        <w:t>е</w:t>
      </w:r>
      <w:r>
        <w:rPr>
          <w:rFonts w:ascii="Times New Roman CYR" w:hAnsi="Times New Roman CYR" w:cs="Times New Roman CYR"/>
          <w:sz w:val="28"/>
          <w:szCs w:val="28"/>
        </w:rPr>
        <w:t xml:space="preserve">ловского района </w:t>
      </w:r>
      <w:r>
        <w:rPr>
          <w:rFonts w:ascii="Times New Roman CYR" w:hAnsi="Times New Roman CYR" w:cs="Times New Roman CYR"/>
          <w:b/>
          <w:bCs/>
          <w:sz w:val="28"/>
          <w:szCs w:val="28"/>
        </w:rPr>
        <w:t xml:space="preserve">по данным </w:t>
      </w:r>
      <w:proofErr w:type="spellStart"/>
      <w:r>
        <w:rPr>
          <w:rFonts w:ascii="Times New Roman CYR" w:hAnsi="Times New Roman CYR" w:cs="Times New Roman CYR"/>
          <w:b/>
          <w:bCs/>
          <w:sz w:val="28"/>
          <w:szCs w:val="28"/>
        </w:rPr>
        <w:t>Крайстата</w:t>
      </w:r>
      <w:proofErr w:type="spellEnd"/>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 01.01.2016 года общая площадь жилищного фонда всех форм собственности составила 301,3тыс.кв.м. Ввод в эксплуатацию жилых домов за счёт всех источников финансирования за 2015 год составил 2282кв.м. общей площади, выбытие жилищного фонда за 2016 год составило 0,140кв.м</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Светлолобовский</w:t>
      </w:r>
      <w:proofErr w:type="spell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сельсовет), следовательно общая площадь жилищного фонда всех форм собственности на 01.01.2017 года составила 304,56тыс.кв.м.,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2016 году было введено 14 ЖД, в том числе:</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- 1 многоквартирный жилой дом общей площадью 781м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(в 1 -жилфонд учтено 717,9 за вычетом б</w:t>
      </w:r>
      <w:r w:rsidR="004C3386">
        <w:rPr>
          <w:rFonts w:ascii="Times New Roman CYR" w:hAnsi="Times New Roman CYR" w:cs="Times New Roman CYR"/>
          <w:sz w:val="28"/>
          <w:szCs w:val="28"/>
        </w:rPr>
        <w:t>а</w:t>
      </w:r>
      <w:r>
        <w:rPr>
          <w:rFonts w:ascii="Times New Roman CYR" w:hAnsi="Times New Roman CYR" w:cs="Times New Roman CYR"/>
          <w:sz w:val="28"/>
          <w:szCs w:val="28"/>
        </w:rPr>
        <w:t>лконов) за счет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аевого бюджета;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- 12 индивидуальных жилых домов, введенных в эксплуатацию физическими лицами, за счет собственных и заемных средств общей площадью 1323,8м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- 1жилой дом блокированной застройки, введенный в эксплуатацию юридическим лицом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общей площадью 177м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площадь жилых помещений, приходящаяся в среднем на одного жителя в 2016 году </w:t>
      </w:r>
      <w:r>
        <w:rPr>
          <w:rFonts w:ascii="Times New Roman CYR" w:hAnsi="Times New Roman CYR" w:cs="Times New Roman CYR"/>
          <w:b/>
          <w:bCs/>
          <w:sz w:val="28"/>
          <w:szCs w:val="28"/>
        </w:rPr>
        <w:t xml:space="preserve">по данным </w:t>
      </w:r>
      <w:proofErr w:type="spellStart"/>
      <w:r>
        <w:rPr>
          <w:rFonts w:ascii="Times New Roman CYR" w:hAnsi="Times New Roman CYR" w:cs="Times New Roman CYR"/>
          <w:b/>
          <w:bCs/>
          <w:sz w:val="28"/>
          <w:szCs w:val="28"/>
        </w:rPr>
        <w:t>Крайстата</w:t>
      </w:r>
      <w:proofErr w:type="spellEnd"/>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составила 23,1м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2017 году планируется ввод жилья общей площадью 1500 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 xml:space="preserve"> за счет собственных и заемных средств физических лиц, в 2018 - 2019 годах планируемый ввод жилья составит по 700м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ежегодно. Планируемое снижение ввода жилья за счет того, что в Новоселовском сельсовете земельные участки под ИДС на сегодняшний день отсутствуют.</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Общая площадь жилых помещений, приходящаяся в среднем на одного жителя планируется: 2017 г. – 23,53м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 2018 г. – 23,63м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2019 г. – 23,79м</w:t>
      </w:r>
      <w:r>
        <w:rPr>
          <w:rFonts w:ascii="Times New Roman CYR" w:hAnsi="Times New Roman CYR" w:cs="Times New Roman CYR"/>
          <w:sz w:val="28"/>
          <w:szCs w:val="28"/>
          <w:vertAlign w:val="superscript"/>
        </w:rPr>
        <w:t>2</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6"/>
        <w:gridCol w:w="1428"/>
        <w:gridCol w:w="1251"/>
        <w:gridCol w:w="962"/>
        <w:gridCol w:w="834"/>
        <w:gridCol w:w="930"/>
      </w:tblGrid>
      <w:tr w:rsidR="00D845E5">
        <w:tblPrEx>
          <w:tblCellMar>
            <w:top w:w="0" w:type="dxa"/>
            <w:bottom w:w="0" w:type="dxa"/>
          </w:tblCellMar>
        </w:tblPrEx>
        <w:tc>
          <w:tcPr>
            <w:tcW w:w="9571" w:type="dxa"/>
            <w:gridSpan w:val="6"/>
            <w:tcBorders>
              <w:top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Ввод жилья, кв. метров</w:t>
            </w:r>
          </w:p>
        </w:tc>
      </w:tr>
      <w:tr w:rsidR="00D845E5">
        <w:tblPrEx>
          <w:tblCellMar>
            <w:top w:w="0" w:type="dxa"/>
            <w:bottom w:w="0" w:type="dxa"/>
          </w:tblCellMar>
        </w:tblPrEx>
        <w:tc>
          <w:tcPr>
            <w:tcW w:w="4166"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предыдущий период</w:t>
            </w:r>
          </w:p>
        </w:tc>
        <w:tc>
          <w:tcPr>
            <w:tcW w:w="1251"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отчетный период</w:t>
            </w:r>
          </w:p>
        </w:tc>
        <w:tc>
          <w:tcPr>
            <w:tcW w:w="2726" w:type="dxa"/>
            <w:gridSpan w:val="3"/>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прогноз</w:t>
            </w:r>
          </w:p>
        </w:tc>
      </w:tr>
      <w:tr w:rsidR="00D845E5">
        <w:tblPrEx>
          <w:tblCellMar>
            <w:top w:w="0" w:type="dxa"/>
            <w:bottom w:w="0" w:type="dxa"/>
          </w:tblCellMar>
        </w:tblPrEx>
        <w:trPr>
          <w:trHeight w:val="270"/>
        </w:trPr>
        <w:tc>
          <w:tcPr>
            <w:tcW w:w="4166"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2015</w:t>
            </w:r>
          </w:p>
        </w:tc>
        <w:tc>
          <w:tcPr>
            <w:tcW w:w="1251"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2016</w:t>
            </w:r>
          </w:p>
        </w:tc>
        <w:tc>
          <w:tcPr>
            <w:tcW w:w="96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2017</w:t>
            </w:r>
          </w:p>
        </w:tc>
        <w:tc>
          <w:tcPr>
            <w:tcW w:w="8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2018</w:t>
            </w:r>
          </w:p>
        </w:tc>
        <w:tc>
          <w:tcPr>
            <w:tcW w:w="930"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2019</w:t>
            </w:r>
          </w:p>
        </w:tc>
      </w:tr>
      <w:tr w:rsidR="00D845E5">
        <w:tblPrEx>
          <w:tblCellMar>
            <w:top w:w="0" w:type="dxa"/>
            <w:bottom w:w="0" w:type="dxa"/>
          </w:tblCellMar>
        </w:tblPrEx>
        <w:tc>
          <w:tcPr>
            <w:tcW w:w="4166"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Введено всего,</w:t>
            </w:r>
          </w:p>
          <w:p w:rsidR="00D845E5" w:rsidRDefault="00D845E5" w:rsidP="00093F2E">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в том числе</w:t>
            </w: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1865</w:t>
            </w:r>
          </w:p>
        </w:tc>
        <w:tc>
          <w:tcPr>
            <w:tcW w:w="1251"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2282</w:t>
            </w:r>
          </w:p>
        </w:tc>
        <w:tc>
          <w:tcPr>
            <w:tcW w:w="96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1500</w:t>
            </w:r>
          </w:p>
        </w:tc>
        <w:tc>
          <w:tcPr>
            <w:tcW w:w="8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700</w:t>
            </w:r>
          </w:p>
        </w:tc>
        <w:tc>
          <w:tcPr>
            <w:tcW w:w="930"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700</w:t>
            </w:r>
          </w:p>
        </w:tc>
      </w:tr>
      <w:tr w:rsidR="00D845E5">
        <w:tblPrEx>
          <w:tblCellMar>
            <w:top w:w="0" w:type="dxa"/>
            <w:bottom w:w="0" w:type="dxa"/>
          </w:tblCellMar>
        </w:tblPrEx>
        <w:tc>
          <w:tcPr>
            <w:tcW w:w="4166"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индивидуальное жилищное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1283</w:t>
            </w:r>
          </w:p>
        </w:tc>
        <w:tc>
          <w:tcPr>
            <w:tcW w:w="1251"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1323,8</w:t>
            </w:r>
          </w:p>
        </w:tc>
        <w:tc>
          <w:tcPr>
            <w:tcW w:w="96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1500</w:t>
            </w:r>
          </w:p>
        </w:tc>
        <w:tc>
          <w:tcPr>
            <w:tcW w:w="8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700</w:t>
            </w:r>
          </w:p>
        </w:tc>
        <w:tc>
          <w:tcPr>
            <w:tcW w:w="930"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700</w:t>
            </w:r>
          </w:p>
        </w:tc>
      </w:tr>
      <w:tr w:rsidR="00D845E5">
        <w:tblPrEx>
          <w:tblCellMar>
            <w:top w:w="0" w:type="dxa"/>
            <w:bottom w:w="0" w:type="dxa"/>
          </w:tblCellMar>
        </w:tblPrEx>
        <w:tc>
          <w:tcPr>
            <w:tcW w:w="4166"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многоквартирное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c>
          <w:tcPr>
            <w:tcW w:w="1251"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958</w:t>
            </w:r>
          </w:p>
        </w:tc>
        <w:tc>
          <w:tcPr>
            <w:tcW w:w="96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c>
          <w:tcPr>
            <w:tcW w:w="8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c>
          <w:tcPr>
            <w:tcW w:w="930"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r>
    </w:tbl>
    <w:p w:rsidR="00D845E5" w:rsidRDefault="00D845E5" w:rsidP="00093F2E">
      <w:pPr>
        <w:autoSpaceDE w:val="0"/>
        <w:autoSpaceDN w:val="0"/>
        <w:adjustRightInd w:val="0"/>
        <w:spacing w:after="0" w:line="240" w:lineRule="auto"/>
        <w:ind w:firstLine="720"/>
        <w:jc w:val="both"/>
        <w:rPr>
          <w:rFonts w:ascii="Times New Roman CYR" w:hAnsi="Times New Roman CYR" w:cs="Times New Roman CYR"/>
          <w:i/>
          <w:iCs/>
          <w:sz w:val="28"/>
          <w:szCs w:val="28"/>
        </w:rPr>
      </w:pPr>
    </w:p>
    <w:p w:rsidR="00D845E5" w:rsidRDefault="00D845E5" w:rsidP="00093F2E">
      <w:pPr>
        <w:autoSpaceDE w:val="0"/>
        <w:autoSpaceDN w:val="0"/>
        <w:adjustRightInd w:val="0"/>
        <w:spacing w:after="0" w:line="240" w:lineRule="auto"/>
        <w:ind w:firstLine="720"/>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«Площадь земельных участков, предоставленных для строительства,  всего га на 10 </w:t>
      </w:r>
      <w:proofErr w:type="spellStart"/>
      <w:r>
        <w:rPr>
          <w:rFonts w:ascii="Times New Roman CYR" w:hAnsi="Times New Roman CYR" w:cs="Times New Roman CYR"/>
          <w:i/>
          <w:iCs/>
          <w:sz w:val="28"/>
          <w:szCs w:val="28"/>
        </w:rPr>
        <w:t>тыс</w:t>
      </w:r>
      <w:proofErr w:type="gramStart"/>
      <w:r>
        <w:rPr>
          <w:rFonts w:ascii="Times New Roman CYR" w:hAnsi="Times New Roman CYR" w:cs="Times New Roman CYR"/>
          <w:i/>
          <w:iCs/>
          <w:sz w:val="28"/>
          <w:szCs w:val="28"/>
        </w:rPr>
        <w:t>.ч</w:t>
      </w:r>
      <w:proofErr w:type="gramEnd"/>
      <w:r>
        <w:rPr>
          <w:rFonts w:ascii="Times New Roman CYR" w:hAnsi="Times New Roman CYR" w:cs="Times New Roman CYR"/>
          <w:i/>
          <w:iCs/>
          <w:sz w:val="28"/>
          <w:szCs w:val="28"/>
        </w:rPr>
        <w:t>ел</w:t>
      </w:r>
      <w:proofErr w:type="spellEnd"/>
      <w:r>
        <w:rPr>
          <w:rFonts w:ascii="Times New Roman CYR" w:hAnsi="Times New Roman CYR" w:cs="Times New Roman CYR"/>
          <w:i/>
          <w:iCs/>
          <w:sz w:val="28"/>
          <w:szCs w:val="28"/>
        </w:rPr>
        <w:t>. населения»</w:t>
      </w:r>
      <w:r>
        <w:rPr>
          <w:rFonts w:ascii="Times New Roman CYR" w:hAnsi="Times New Roman CYR" w:cs="Times New Roman CYR"/>
          <w:sz w:val="28"/>
          <w:szCs w:val="28"/>
        </w:rPr>
        <w:t xml:space="preserve"> в 2016году составила – 3,06га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Всего было выделено 28 земельный участков, общей площадью 4,0262 га, в том числе:</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- 21 участок, площадью - 2,9790 га для ИЖС;</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- 5 участков, пл</w:t>
      </w:r>
      <w:r w:rsidR="004C3386">
        <w:rPr>
          <w:rFonts w:ascii="Times New Roman CYR" w:hAnsi="Times New Roman CYR" w:cs="Times New Roman CYR"/>
          <w:sz w:val="28"/>
          <w:szCs w:val="28"/>
        </w:rPr>
        <w:t>о</w:t>
      </w:r>
      <w:r>
        <w:rPr>
          <w:rFonts w:ascii="Times New Roman CYR" w:hAnsi="Times New Roman CYR" w:cs="Times New Roman CYR"/>
          <w:sz w:val="28"/>
          <w:szCs w:val="28"/>
        </w:rPr>
        <w:t>щадью 0,75 га для ИЖС мол</w:t>
      </w:r>
      <w:r w:rsidR="004C3386">
        <w:rPr>
          <w:rFonts w:ascii="Times New Roman CYR" w:hAnsi="Times New Roman CYR" w:cs="Times New Roman CYR"/>
          <w:sz w:val="28"/>
          <w:szCs w:val="28"/>
        </w:rPr>
        <w:t>о</w:t>
      </w:r>
      <w:r>
        <w:rPr>
          <w:rFonts w:ascii="Times New Roman CYR" w:hAnsi="Times New Roman CYR" w:cs="Times New Roman CYR"/>
          <w:sz w:val="28"/>
          <w:szCs w:val="28"/>
        </w:rPr>
        <w:t>дым специалистам;</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- 2 участка, площадью 0,2972 га для ИЖС многодетным.</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2017 году планируется выделение земельных участков общей пло</w:t>
      </w:r>
      <w:r w:rsidR="004C3386">
        <w:rPr>
          <w:rFonts w:ascii="Times New Roman CYR" w:hAnsi="Times New Roman CYR" w:cs="Times New Roman CYR"/>
          <w:sz w:val="28"/>
          <w:szCs w:val="28"/>
        </w:rPr>
        <w:t>щ</w:t>
      </w:r>
      <w:r>
        <w:rPr>
          <w:rFonts w:ascii="Times New Roman CYR" w:hAnsi="Times New Roman CYR" w:cs="Times New Roman CYR"/>
          <w:sz w:val="28"/>
          <w:szCs w:val="28"/>
        </w:rPr>
        <w:t>адью 2,3344 га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2018 - 2019гг. по 0,5 га.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5"/>
        <w:gridCol w:w="1428"/>
        <w:gridCol w:w="1252"/>
        <w:gridCol w:w="969"/>
        <w:gridCol w:w="835"/>
        <w:gridCol w:w="932"/>
      </w:tblGrid>
      <w:tr w:rsidR="00D845E5">
        <w:tblPrEx>
          <w:tblCellMar>
            <w:top w:w="0" w:type="dxa"/>
            <w:bottom w:w="0" w:type="dxa"/>
          </w:tblCellMar>
        </w:tblPrEx>
        <w:tc>
          <w:tcPr>
            <w:tcW w:w="9571" w:type="dxa"/>
            <w:gridSpan w:val="6"/>
            <w:tcBorders>
              <w:top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Площадь предоставленных земельных участков</w:t>
            </w:r>
            <w:r>
              <w:rPr>
                <w:rFonts w:ascii="Times New Roman CYR" w:hAnsi="Times New Roman CYR" w:cs="Times New Roman CYR"/>
                <w:sz w:val="28"/>
                <w:szCs w:val="28"/>
              </w:rPr>
              <w:t xml:space="preserve">, </w:t>
            </w:r>
            <w:proofErr w:type="gramStart"/>
            <w:r>
              <w:rPr>
                <w:rFonts w:ascii="Times New Roman CYR" w:hAnsi="Times New Roman CYR" w:cs="Times New Roman CYR"/>
                <w:b/>
                <w:bCs/>
                <w:sz w:val="28"/>
                <w:szCs w:val="28"/>
              </w:rPr>
              <w:t>Га</w:t>
            </w:r>
            <w:proofErr w:type="gramEnd"/>
          </w:p>
        </w:tc>
      </w:tr>
      <w:tr w:rsidR="00D845E5">
        <w:tblPrEx>
          <w:tblCellMar>
            <w:top w:w="0" w:type="dxa"/>
            <w:bottom w:w="0" w:type="dxa"/>
          </w:tblCellMar>
        </w:tblPrEx>
        <w:tc>
          <w:tcPr>
            <w:tcW w:w="4155"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предыдущий период</w:t>
            </w:r>
          </w:p>
        </w:tc>
        <w:tc>
          <w:tcPr>
            <w:tcW w:w="125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отчетный период</w:t>
            </w:r>
          </w:p>
        </w:tc>
        <w:tc>
          <w:tcPr>
            <w:tcW w:w="2736" w:type="dxa"/>
            <w:gridSpan w:val="3"/>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прогноз</w:t>
            </w:r>
          </w:p>
        </w:tc>
      </w:tr>
      <w:tr w:rsidR="00D845E5">
        <w:tblPrEx>
          <w:tblCellMar>
            <w:top w:w="0" w:type="dxa"/>
            <w:bottom w:w="0" w:type="dxa"/>
          </w:tblCellMar>
        </w:tblPrEx>
        <w:tc>
          <w:tcPr>
            <w:tcW w:w="4155"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2015</w:t>
            </w:r>
          </w:p>
        </w:tc>
        <w:tc>
          <w:tcPr>
            <w:tcW w:w="125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2016</w:t>
            </w:r>
          </w:p>
        </w:tc>
        <w:tc>
          <w:tcPr>
            <w:tcW w:w="96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2017</w:t>
            </w:r>
          </w:p>
        </w:tc>
        <w:tc>
          <w:tcPr>
            <w:tcW w:w="835"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2018</w:t>
            </w:r>
          </w:p>
        </w:tc>
        <w:tc>
          <w:tcPr>
            <w:tcW w:w="93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2019</w:t>
            </w:r>
          </w:p>
        </w:tc>
      </w:tr>
      <w:tr w:rsidR="00D845E5">
        <w:tblPrEx>
          <w:tblCellMar>
            <w:top w:w="0" w:type="dxa"/>
            <w:bottom w:w="0" w:type="dxa"/>
          </w:tblCellMar>
        </w:tblPrEx>
        <w:tc>
          <w:tcPr>
            <w:tcW w:w="4155"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Площадь земельных участков, предоставленных для строительства, всего:</w:t>
            </w:r>
          </w:p>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 том числе</w:t>
            </w: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1,2384</w:t>
            </w:r>
          </w:p>
        </w:tc>
        <w:tc>
          <w:tcPr>
            <w:tcW w:w="125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4,0262</w:t>
            </w:r>
          </w:p>
        </w:tc>
        <w:tc>
          <w:tcPr>
            <w:tcW w:w="96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2,3344</w:t>
            </w:r>
          </w:p>
        </w:tc>
        <w:tc>
          <w:tcPr>
            <w:tcW w:w="835"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c>
          <w:tcPr>
            <w:tcW w:w="93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r>
      <w:tr w:rsidR="00D845E5">
        <w:tblPrEx>
          <w:tblCellMar>
            <w:top w:w="0" w:type="dxa"/>
            <w:bottom w:w="0" w:type="dxa"/>
          </w:tblCellMar>
        </w:tblPrEx>
        <w:tc>
          <w:tcPr>
            <w:tcW w:w="4155"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 xml:space="preserve">для жилищного строительства (в </w:t>
            </w:r>
            <w:proofErr w:type="spellStart"/>
            <w:r>
              <w:rPr>
                <w:rFonts w:ascii="Times New Roman CYR" w:hAnsi="Times New Roman CYR" w:cs="Times New Roman CYR"/>
              </w:rPr>
              <w:t>т.ч</w:t>
            </w:r>
            <w:proofErr w:type="spellEnd"/>
            <w:r>
              <w:rPr>
                <w:rFonts w:ascii="Times New Roman CYR" w:hAnsi="Times New Roman CYR" w:cs="Times New Roman CYR"/>
              </w:rPr>
              <w:t>. для   ИЖС)</w:t>
            </w: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1,2384</w:t>
            </w:r>
          </w:p>
        </w:tc>
        <w:tc>
          <w:tcPr>
            <w:tcW w:w="125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4,0262</w:t>
            </w:r>
          </w:p>
        </w:tc>
        <w:tc>
          <w:tcPr>
            <w:tcW w:w="96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2,3344</w:t>
            </w:r>
          </w:p>
        </w:tc>
        <w:tc>
          <w:tcPr>
            <w:tcW w:w="835"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c>
          <w:tcPr>
            <w:tcW w:w="93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r>
      <w:tr w:rsidR="00D845E5">
        <w:tblPrEx>
          <w:tblCellMar>
            <w:top w:w="0" w:type="dxa"/>
            <w:bottom w:w="0" w:type="dxa"/>
          </w:tblCellMar>
        </w:tblPrEx>
        <w:tc>
          <w:tcPr>
            <w:tcW w:w="4155"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для комплексного освоения в целях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125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96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835"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93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r>
      <w:tr w:rsidR="00D845E5">
        <w:tblPrEx>
          <w:tblCellMar>
            <w:top w:w="0" w:type="dxa"/>
            <w:bottom w:w="0" w:type="dxa"/>
          </w:tblCellMar>
        </w:tblPrEx>
        <w:tc>
          <w:tcPr>
            <w:tcW w:w="4155"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для строительства объектов, не являющихся объектами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1252"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96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835"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93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r>
    </w:tbl>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2016 году площадь земельных участков, предоставленных для ИЖС увеличилась по сравнению с 2015 годом за счет того, что в 2015 году был разработан и утвержден проект планировки квартала усадебной</w:t>
      </w:r>
      <w:r w:rsidR="004C3386">
        <w:rPr>
          <w:rFonts w:ascii="Times New Roman CYR" w:hAnsi="Times New Roman CYR" w:cs="Times New Roman CYR"/>
          <w:sz w:val="28"/>
          <w:szCs w:val="28"/>
        </w:rPr>
        <w:t>,</w:t>
      </w:r>
      <w:r>
        <w:rPr>
          <w:rFonts w:ascii="Times New Roman CYR" w:hAnsi="Times New Roman CYR" w:cs="Times New Roman CYR"/>
          <w:sz w:val="28"/>
          <w:szCs w:val="28"/>
        </w:rPr>
        <w:t xml:space="preserve">  жилой застройки в </w:t>
      </w: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ветлолобово</w:t>
      </w:r>
      <w:proofErr w:type="spellEnd"/>
      <w:r>
        <w:rPr>
          <w:rFonts w:ascii="Times New Roman CYR" w:hAnsi="Times New Roman CYR" w:cs="Times New Roman CYR"/>
          <w:sz w:val="28"/>
          <w:szCs w:val="28"/>
        </w:rPr>
        <w:t xml:space="preserve"> площадью 8,84 га.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перспективе до 2019 года площадь земельных участков, предоставленных для  жилищного строительства </w:t>
      </w:r>
      <w:proofErr w:type="gramStart"/>
      <w:r>
        <w:rPr>
          <w:rFonts w:ascii="Times New Roman CYR" w:hAnsi="Times New Roman CYR" w:cs="Times New Roman CYR"/>
          <w:sz w:val="28"/>
          <w:szCs w:val="28"/>
        </w:rPr>
        <w:t>начиная с 2018 года планируется со снижением</w:t>
      </w:r>
      <w:proofErr w:type="gramEnd"/>
      <w:r>
        <w:rPr>
          <w:rFonts w:ascii="Times New Roman CYR" w:hAnsi="Times New Roman CYR" w:cs="Times New Roman CYR"/>
          <w:sz w:val="28"/>
          <w:szCs w:val="28"/>
        </w:rPr>
        <w:t xml:space="preserve">, в связи с отсутствием земельных участков в границах населенных пунктов. </w:t>
      </w:r>
    </w:p>
    <w:p w:rsidR="00D845E5" w:rsidRDefault="00D845E5" w:rsidP="00093F2E">
      <w:pPr>
        <w:autoSpaceDE w:val="0"/>
        <w:autoSpaceDN w:val="0"/>
        <w:adjustRightInd w:val="0"/>
        <w:spacing w:after="0" w:line="240" w:lineRule="auto"/>
        <w:jc w:val="both"/>
        <w:rPr>
          <w:rFonts w:ascii="Times New Roman CYR" w:hAnsi="Times New Roman CYR" w:cs="Times New Roman CYR"/>
        </w:rPr>
      </w:pP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Pr>
          <w:rFonts w:ascii="Times New Roman CYR" w:hAnsi="Times New Roman CYR" w:cs="Times New Roman CYR"/>
          <w:sz w:val="28"/>
          <w:szCs w:val="28"/>
        </w:rPr>
        <w:t xml:space="preserve">га на 10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ел</w:t>
      </w:r>
      <w:proofErr w:type="spellEnd"/>
      <w:r>
        <w:rPr>
          <w:rFonts w:ascii="Times New Roman CYR" w:hAnsi="Times New Roman CYR" w:cs="Times New Roman CYR"/>
          <w:sz w:val="28"/>
          <w:szCs w:val="28"/>
        </w:rPr>
        <w:t>. населения составила в 2016 году - 3,06 га. (4,0262/13179*10000=3,06 га);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2017 г. - 1,79 га. (2,3344га/13075*10000=1,79га);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2018 г. – 0,38 га. (0,5/13024*10000=0,38 га);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2019 г. - 0,38 га. (0,5/12979*10000=0,38 га.).</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 xml:space="preserve">Площадь земельных участков, предоставленных для строительства, в отношении которых </w:t>
      </w:r>
      <w:proofErr w:type="gramStart"/>
      <w:r>
        <w:rPr>
          <w:rFonts w:ascii="Times New Roman CYR" w:hAnsi="Times New Roman CYR" w:cs="Times New Roman CYR"/>
          <w:b/>
          <w:bCs/>
          <w:color w:val="000000"/>
          <w:sz w:val="28"/>
          <w:szCs w:val="28"/>
        </w:rPr>
        <w:t>с даты принятия</w:t>
      </w:r>
      <w:proofErr w:type="gramEnd"/>
      <w:r>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26.1. </w:t>
      </w:r>
      <w:r>
        <w:rPr>
          <w:rFonts w:ascii="Times New Roman CYR" w:hAnsi="Times New Roman CYR" w:cs="Times New Roman CYR"/>
          <w:b/>
          <w:bCs/>
          <w:color w:val="000000"/>
          <w:sz w:val="28"/>
          <w:szCs w:val="28"/>
        </w:rPr>
        <w:t>объектов жилищного строительства - в течение 3 лет</w:t>
      </w:r>
    </w:p>
    <w:p w:rsidR="00D845E5" w:rsidRDefault="00D845E5" w:rsidP="00093F2E">
      <w:pPr>
        <w:autoSpaceDE w:val="0"/>
        <w:autoSpaceDN w:val="0"/>
        <w:adjustRightInd w:val="0"/>
        <w:spacing w:after="0" w:line="240" w:lineRule="auto"/>
        <w:ind w:firstLine="708"/>
        <w:jc w:val="both"/>
        <w:rPr>
          <w:rFonts w:ascii="Arial CYR" w:hAnsi="Arial CYR" w:cs="Arial CYR"/>
          <w:sz w:val="28"/>
          <w:szCs w:val="28"/>
        </w:rPr>
      </w:pPr>
      <w:r>
        <w:rPr>
          <w:rFonts w:ascii="Times New Roman CYR" w:hAnsi="Times New Roman CYR" w:cs="Times New Roman CYR"/>
          <w:sz w:val="28"/>
          <w:szCs w:val="28"/>
        </w:rPr>
        <w:t xml:space="preserve">В 2016 году площадь земельных участков, предоставленных для строительства, в отношении которых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w:t>
      </w:r>
      <w:r>
        <w:rPr>
          <w:rFonts w:ascii="Times New Roman CYR" w:hAnsi="Times New Roman CYR" w:cs="Times New Roman CYR"/>
          <w:sz w:val="28"/>
          <w:szCs w:val="28"/>
        </w:rPr>
        <w:lastRenderedPageBreak/>
        <w:t>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составила 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В перспективе до 2019 года планируется сохранение показателя.</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rsidR="00D845E5" w:rsidRDefault="00D845E5" w:rsidP="00093F2E">
      <w:pPr>
        <w:autoSpaceDE w:val="0"/>
        <w:autoSpaceDN w:val="0"/>
        <w:adjustRightInd w:val="0"/>
        <w:spacing w:after="0" w:line="240" w:lineRule="auto"/>
        <w:ind w:firstLine="708"/>
        <w:jc w:val="both"/>
        <w:rPr>
          <w:rFonts w:ascii="Arial CYR" w:hAnsi="Arial CYR" w:cs="Arial CYR"/>
          <w:sz w:val="28"/>
          <w:szCs w:val="28"/>
        </w:rPr>
      </w:pPr>
      <w:r>
        <w:rPr>
          <w:rFonts w:ascii="Times New Roman CYR" w:hAnsi="Times New Roman CYR" w:cs="Times New Roman CYR"/>
          <w:sz w:val="28"/>
          <w:szCs w:val="28"/>
        </w:rPr>
        <w:t xml:space="preserve">В 2016 году площадь земельных участков, предоставленных для строительства, в отношении которых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 составила 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В перспективе до 2019 года планируется сохранение показателя.</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 </w:t>
      </w:r>
      <w:r>
        <w:rPr>
          <w:rFonts w:ascii="Times New Roman CYR" w:hAnsi="Times New Roman CYR" w:cs="Times New Roman CYR"/>
          <w:b/>
          <w:bCs/>
          <w:color w:val="000000"/>
          <w:sz w:val="28"/>
          <w:szCs w:val="28"/>
        </w:rPr>
        <w:t>Жилищно-коммунальное хозяйство</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27. </w:t>
      </w:r>
      <w:r>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D845E5" w:rsidRDefault="00D845E5" w:rsidP="00093F2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многоквартирных домах выбран способ управления, следовательно,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D845E5" w:rsidRDefault="00D845E5" w:rsidP="00093F2E">
      <w:pPr>
        <w:autoSpaceDE w:val="0"/>
        <w:autoSpaceDN w:val="0"/>
        <w:adjustRightInd w:val="0"/>
        <w:spacing w:after="0" w:line="240" w:lineRule="auto"/>
        <w:jc w:val="both"/>
        <w:rPr>
          <w:rFonts w:ascii="Arial CYR" w:hAnsi="Arial CYR" w:cs="Arial CYR"/>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28. </w:t>
      </w:r>
      <w:r>
        <w:rPr>
          <w:rFonts w:ascii="Times New Roman CYR" w:hAnsi="Times New Roman CYR" w:cs="Times New Roman CYR"/>
          <w:b/>
          <w:bCs/>
          <w:color w:val="000000"/>
          <w:sz w:val="28"/>
          <w:szCs w:val="28"/>
        </w:rPr>
        <w:t>Доля организаций коммунального комплекса, осуществляющих производство товаров, оказание услуг по водо-, тепл</w:t>
      </w:r>
      <w:proofErr w:type="gramStart"/>
      <w:r>
        <w:rPr>
          <w:rFonts w:ascii="Times New Roman CYR" w:hAnsi="Times New Roman CYR" w:cs="Times New Roman CYR"/>
          <w:b/>
          <w:bCs/>
          <w:color w:val="000000"/>
          <w:sz w:val="28"/>
          <w:szCs w:val="28"/>
        </w:rPr>
        <w:t>о-</w:t>
      </w:r>
      <w:proofErr w:type="gramEnd"/>
      <w:r>
        <w:rPr>
          <w:rFonts w:ascii="Times New Roman CYR" w:hAnsi="Times New Roman CYR" w:cs="Times New Roman CYR"/>
          <w:b/>
          <w:bCs/>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Pr>
          <w:rFonts w:ascii="Times New Roman CYR" w:hAnsi="Times New Roman CYR" w:cs="Times New Roman CYR"/>
          <w:b/>
          <w:bCs/>
          <w:color w:val="000000"/>
          <w:sz w:val="28"/>
          <w:szCs w:val="28"/>
        </w:rPr>
        <w:t>осуществляющих</w:t>
      </w:r>
      <w:proofErr w:type="gramEnd"/>
      <w:r>
        <w:rPr>
          <w:rFonts w:ascii="Times New Roman CYR" w:hAnsi="Times New Roman CYR" w:cs="Times New Roman CYR"/>
          <w:b/>
          <w:bCs/>
          <w:color w:val="000000"/>
          <w:sz w:val="28"/>
          <w:szCs w:val="28"/>
        </w:rPr>
        <w:t xml:space="preserve"> свою деятельность на территории городского округа (муниципального района)</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территории городского округа (муниципального района)</w:t>
      </w:r>
    </w:p>
    <w:p w:rsidR="00D845E5" w:rsidRDefault="00D845E5" w:rsidP="00093F2E">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Доля организаций коммунального комплекса, осуществляющих производство товаров, оказание услуг по </w:t>
      </w:r>
      <w:proofErr w:type="spellStart"/>
      <w:r>
        <w:rPr>
          <w:rFonts w:ascii="Times New Roman CYR" w:hAnsi="Times New Roman CYR" w:cs="Times New Roman CYR"/>
          <w:sz w:val="28"/>
          <w:szCs w:val="28"/>
        </w:rPr>
        <w:t>водо</w:t>
      </w:r>
      <w:proofErr w:type="spellEnd"/>
      <w:r>
        <w:rPr>
          <w:rFonts w:ascii="Times New Roman CYR" w:hAnsi="Times New Roman CYR" w:cs="Times New Roman CYR"/>
          <w:sz w:val="28"/>
          <w:szCs w:val="28"/>
        </w:rPr>
        <w:t xml:space="preserve">, тепло, </w:t>
      </w:r>
      <w:proofErr w:type="spellStart"/>
      <w:r>
        <w:rPr>
          <w:rFonts w:ascii="Times New Roman CYR" w:hAnsi="Times New Roman CYR" w:cs="Times New Roman CYR"/>
          <w:sz w:val="28"/>
          <w:szCs w:val="28"/>
        </w:rPr>
        <w:t>газо</w:t>
      </w:r>
      <w:proofErr w:type="spellEnd"/>
      <w:r>
        <w:rPr>
          <w:rFonts w:ascii="Times New Roman CYR" w:hAnsi="Times New Roman CYR" w:cs="Times New Roman CYR"/>
          <w:sz w:val="28"/>
          <w:szCs w:val="28"/>
        </w:rPr>
        <w:t xml:space="preserve">, электроснабжению, водоотведению, очистке сточных вод, утилизации (захоронению) твердых </w:t>
      </w:r>
      <w:r>
        <w:rPr>
          <w:rFonts w:ascii="Times New Roman CYR" w:hAnsi="Times New Roman CYR" w:cs="Times New Roman CYR"/>
          <w:sz w:val="28"/>
          <w:szCs w:val="28"/>
        </w:rPr>
        <w:lastRenderedPageBreak/>
        <w:t>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w:t>
      </w:r>
      <w:proofErr w:type="gramEnd"/>
      <w:r>
        <w:rPr>
          <w:rFonts w:ascii="Times New Roman CYR" w:hAnsi="Times New Roman CYR" w:cs="Times New Roman CYR"/>
          <w:sz w:val="28"/>
          <w:szCs w:val="28"/>
        </w:rPr>
        <w:t xml:space="preserve"> коммунального комплекса, </w:t>
      </w:r>
      <w:proofErr w:type="gramStart"/>
      <w:r>
        <w:rPr>
          <w:rFonts w:ascii="Times New Roman CYR" w:hAnsi="Times New Roman CYR" w:cs="Times New Roman CYR"/>
          <w:sz w:val="28"/>
          <w:szCs w:val="28"/>
        </w:rPr>
        <w:t>осуществляющих</w:t>
      </w:r>
      <w:proofErr w:type="gramEnd"/>
      <w:r>
        <w:rPr>
          <w:rFonts w:ascii="Times New Roman CYR" w:hAnsi="Times New Roman CYR" w:cs="Times New Roman CYR"/>
          <w:sz w:val="28"/>
          <w:szCs w:val="28"/>
        </w:rPr>
        <w:t xml:space="preserve"> свою деятельность на территории городского округа (муниципального района) в 2016 году остался на прежнем уровне и составил 62,5%.  В перспективе до 2019 года изменение показателя не планируется.</w:t>
      </w:r>
    </w:p>
    <w:p w:rsidR="00D845E5" w:rsidRDefault="00D845E5" w:rsidP="00093F2E">
      <w:pPr>
        <w:autoSpaceDE w:val="0"/>
        <w:autoSpaceDN w:val="0"/>
        <w:adjustRightInd w:val="0"/>
        <w:spacing w:after="0" w:line="240" w:lineRule="auto"/>
        <w:jc w:val="both"/>
        <w:rPr>
          <w:rFonts w:ascii="Arial CYR" w:hAnsi="Arial CYR" w:cs="Arial CYR"/>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4C3386" w:rsidRDefault="004C3386"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многоквартирных домов, расположенных на земельных участках, в отношении которых </w:t>
      </w:r>
      <w:proofErr w:type="gramStart"/>
      <w:r>
        <w:rPr>
          <w:rFonts w:ascii="Times New Roman CYR" w:hAnsi="Times New Roman CYR" w:cs="Times New Roman CYR"/>
          <w:sz w:val="28"/>
          <w:szCs w:val="28"/>
        </w:rPr>
        <w:t>осуществлен государственный кадастровый учет в 2016 году составила</w:t>
      </w:r>
      <w:proofErr w:type="gramEnd"/>
      <w:r>
        <w:rPr>
          <w:rFonts w:ascii="Times New Roman CYR" w:hAnsi="Times New Roman CYR" w:cs="Times New Roman CYR"/>
          <w:sz w:val="28"/>
          <w:szCs w:val="28"/>
        </w:rPr>
        <w:t xml:space="preserve"> 65% и увеличилась к</w:t>
      </w:r>
      <w:r w:rsidR="004C3386">
        <w:rPr>
          <w:rFonts w:ascii="Times New Roman CYR" w:hAnsi="Times New Roman CYR" w:cs="Times New Roman CYR"/>
          <w:sz w:val="28"/>
          <w:szCs w:val="28"/>
        </w:rPr>
        <w:t xml:space="preserve"> </w:t>
      </w:r>
      <w:r>
        <w:rPr>
          <w:rFonts w:ascii="Times New Roman CYR" w:hAnsi="Times New Roman CYR" w:cs="Times New Roman CYR"/>
          <w:sz w:val="28"/>
          <w:szCs w:val="28"/>
        </w:rPr>
        <w:t>уровню прошлого года на 2,45%.   В перспективе до 2019 года планируется увеличение данного показателя до 67%.</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753"/>
        <w:gridCol w:w="820"/>
        <w:gridCol w:w="756"/>
        <w:gridCol w:w="702"/>
      </w:tblGrid>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/п</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Показатель</w:t>
            </w:r>
          </w:p>
        </w:tc>
        <w:tc>
          <w:tcPr>
            <w:tcW w:w="82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2014</w:t>
            </w:r>
          </w:p>
        </w:tc>
        <w:tc>
          <w:tcPr>
            <w:tcW w:w="75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2015</w:t>
            </w:r>
          </w:p>
        </w:tc>
        <w:tc>
          <w:tcPr>
            <w:tcW w:w="70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2016</w:t>
            </w:r>
          </w:p>
        </w:tc>
      </w:tr>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820"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1945</w:t>
            </w:r>
          </w:p>
        </w:tc>
        <w:tc>
          <w:tcPr>
            <w:tcW w:w="7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1940</w:t>
            </w:r>
          </w:p>
        </w:tc>
        <w:tc>
          <w:tcPr>
            <w:tcW w:w="702"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1941</w:t>
            </w:r>
          </w:p>
        </w:tc>
      </w:tr>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дома блокированной застройки</w:t>
            </w:r>
          </w:p>
        </w:tc>
        <w:tc>
          <w:tcPr>
            <w:tcW w:w="82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1853</w:t>
            </w:r>
          </w:p>
        </w:tc>
        <w:tc>
          <w:tcPr>
            <w:tcW w:w="75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1848</w:t>
            </w:r>
          </w:p>
        </w:tc>
        <w:tc>
          <w:tcPr>
            <w:tcW w:w="70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1848</w:t>
            </w:r>
          </w:p>
        </w:tc>
      </w:tr>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многоквартирные дома, имеющие помещения общего </w:t>
            </w:r>
            <w:r>
              <w:rPr>
                <w:rFonts w:ascii="Times New Roman CYR" w:hAnsi="Times New Roman CYR" w:cs="Times New Roman CYR"/>
                <w:sz w:val="24"/>
                <w:szCs w:val="24"/>
              </w:rPr>
              <w:br/>
              <w:t xml:space="preserve">    пользования</w:t>
            </w:r>
          </w:p>
        </w:tc>
        <w:tc>
          <w:tcPr>
            <w:tcW w:w="82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w:t>
            </w:r>
          </w:p>
        </w:tc>
        <w:tc>
          <w:tcPr>
            <w:tcW w:w="75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w:t>
            </w:r>
          </w:p>
        </w:tc>
        <w:tc>
          <w:tcPr>
            <w:tcW w:w="70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w:t>
            </w:r>
          </w:p>
        </w:tc>
      </w:tr>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820"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1167</w:t>
            </w:r>
          </w:p>
        </w:tc>
        <w:tc>
          <w:tcPr>
            <w:tcW w:w="7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1213</w:t>
            </w:r>
          </w:p>
        </w:tc>
        <w:tc>
          <w:tcPr>
            <w:tcW w:w="702"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1261</w:t>
            </w:r>
          </w:p>
        </w:tc>
      </w:tr>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дома блокированной застройки</w:t>
            </w:r>
          </w:p>
        </w:tc>
        <w:tc>
          <w:tcPr>
            <w:tcW w:w="82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1087</w:t>
            </w:r>
          </w:p>
        </w:tc>
        <w:tc>
          <w:tcPr>
            <w:tcW w:w="75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1133</w:t>
            </w:r>
          </w:p>
        </w:tc>
        <w:tc>
          <w:tcPr>
            <w:tcW w:w="70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1180</w:t>
            </w:r>
          </w:p>
        </w:tc>
      </w:tr>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многоквартирные дома, имеющие помещения общего </w:t>
            </w:r>
            <w:r>
              <w:rPr>
                <w:rFonts w:ascii="Times New Roman CYR" w:hAnsi="Times New Roman CYR" w:cs="Times New Roman CYR"/>
                <w:sz w:val="24"/>
                <w:szCs w:val="24"/>
              </w:rPr>
              <w:br/>
              <w:t xml:space="preserve">    пользования</w:t>
            </w:r>
          </w:p>
        </w:tc>
        <w:tc>
          <w:tcPr>
            <w:tcW w:w="82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80</w:t>
            </w:r>
          </w:p>
        </w:tc>
        <w:tc>
          <w:tcPr>
            <w:tcW w:w="75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80</w:t>
            </w:r>
          </w:p>
        </w:tc>
        <w:tc>
          <w:tcPr>
            <w:tcW w:w="702"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w:t>
            </w:r>
          </w:p>
        </w:tc>
      </w:tr>
      <w:tr w:rsidR="00D845E5">
        <w:tblPrEx>
          <w:tblCellMar>
            <w:top w:w="0" w:type="dxa"/>
            <w:bottom w:w="0" w:type="dxa"/>
          </w:tblCellMar>
        </w:tblPrEx>
        <w:tc>
          <w:tcPr>
            <w:tcW w:w="540"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p>
        </w:tc>
        <w:tc>
          <w:tcPr>
            <w:tcW w:w="6753"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820"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60</w:t>
            </w:r>
          </w:p>
        </w:tc>
        <w:tc>
          <w:tcPr>
            <w:tcW w:w="75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62,55</w:t>
            </w:r>
          </w:p>
        </w:tc>
        <w:tc>
          <w:tcPr>
            <w:tcW w:w="702"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w:t>
            </w:r>
          </w:p>
        </w:tc>
      </w:tr>
    </w:tbl>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30. </w:t>
      </w:r>
      <w:proofErr w:type="gramStart"/>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4C3386" w:rsidRDefault="004C3386"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01.01.2016 года численность населения, состоящего на учете в качестве нуждающегося в жилых помещениях, составила 231 человек. </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населения, получившего жилые помещения и улучшившего жилищные условия в отчетном году, в общей численности населения, </w:t>
      </w:r>
      <w:r>
        <w:rPr>
          <w:rFonts w:ascii="Times New Roman CYR" w:hAnsi="Times New Roman CYR" w:cs="Times New Roman CYR"/>
          <w:sz w:val="28"/>
          <w:szCs w:val="28"/>
        </w:rPr>
        <w:lastRenderedPageBreak/>
        <w:t xml:space="preserve">состоящего на учете в качестве нуждающегося в жилых помещениях в 2016 году составила 2,60%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6 семьям предоставлено жильё) и уменьшилась к уровню прошлого года на 1,38% . Было  выделено жилье по договорам социального найма: </w:t>
      </w:r>
      <w:proofErr w:type="spellStart"/>
      <w:r>
        <w:rPr>
          <w:rFonts w:ascii="Times New Roman CYR" w:hAnsi="Times New Roman CYR" w:cs="Times New Roman CYR"/>
          <w:sz w:val="28"/>
          <w:szCs w:val="28"/>
        </w:rPr>
        <w:t>Чулымский</w:t>
      </w:r>
      <w:proofErr w:type="spellEnd"/>
      <w:r>
        <w:rPr>
          <w:rFonts w:ascii="Times New Roman CYR" w:hAnsi="Times New Roman CYR" w:cs="Times New Roman CYR"/>
          <w:sz w:val="28"/>
          <w:szCs w:val="28"/>
        </w:rPr>
        <w:t xml:space="preserve"> сельсовет – 4 семьи, </w:t>
      </w:r>
      <w:proofErr w:type="spellStart"/>
      <w:r>
        <w:rPr>
          <w:rFonts w:ascii="Times New Roman CYR" w:hAnsi="Times New Roman CYR" w:cs="Times New Roman CYR"/>
          <w:sz w:val="28"/>
          <w:szCs w:val="28"/>
        </w:rPr>
        <w:t>Новоселовский</w:t>
      </w:r>
      <w:proofErr w:type="spellEnd"/>
      <w:r>
        <w:rPr>
          <w:rFonts w:ascii="Times New Roman CYR" w:hAnsi="Times New Roman CYR" w:cs="Times New Roman CYR"/>
          <w:sz w:val="28"/>
          <w:szCs w:val="28"/>
        </w:rPr>
        <w:t xml:space="preserve"> сельсовет – 2 семьи. В 2017 году  произойдет увеличение доли населения, получившего жилые помещения и улучшившего жилищные условия к уровню 2016 года на 7,17 % в связи с тем, что   введен в эксплуатацию  16 квартирный дом для работников бюджетной сферы. В 2018г. данный показатель составит 4,55% и в 2019 г. - 5%.</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
        <w:gridCol w:w="284"/>
        <w:gridCol w:w="4960"/>
        <w:gridCol w:w="1276"/>
        <w:gridCol w:w="1134"/>
        <w:gridCol w:w="709"/>
        <w:gridCol w:w="709"/>
        <w:gridCol w:w="710"/>
      </w:tblGrid>
      <w:tr w:rsidR="00D845E5">
        <w:tblPrEx>
          <w:tblCellMar>
            <w:top w:w="0" w:type="dxa"/>
            <w:bottom w:w="0" w:type="dxa"/>
          </w:tblCellMar>
        </w:tblPrEx>
        <w:trPr>
          <w:jc w:val="center"/>
        </w:trPr>
        <w:tc>
          <w:tcPr>
            <w:tcW w:w="314" w:type="dxa"/>
            <w:gridSpan w:val="2"/>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p>
        </w:tc>
        <w:tc>
          <w:tcPr>
            <w:tcW w:w="496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предыдущий период</w:t>
            </w:r>
          </w:p>
        </w:tc>
        <w:tc>
          <w:tcPr>
            <w:tcW w:w="11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отчетный период</w:t>
            </w:r>
          </w:p>
        </w:tc>
        <w:tc>
          <w:tcPr>
            <w:tcW w:w="2128" w:type="dxa"/>
            <w:gridSpan w:val="3"/>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прогноз</w:t>
            </w:r>
          </w:p>
        </w:tc>
      </w:tr>
      <w:tr w:rsidR="00D845E5">
        <w:tblPrEx>
          <w:tblCellMar>
            <w:top w:w="0" w:type="dxa"/>
            <w:bottom w:w="0" w:type="dxa"/>
          </w:tblCellMar>
        </w:tblPrEx>
        <w:trPr>
          <w:gridBefore w:val="1"/>
          <w:wBefore w:w="30" w:type="dxa"/>
          <w:jc w:val="center"/>
        </w:trPr>
        <w:tc>
          <w:tcPr>
            <w:tcW w:w="284"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p>
        </w:tc>
        <w:tc>
          <w:tcPr>
            <w:tcW w:w="496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2015</w:t>
            </w:r>
          </w:p>
        </w:tc>
        <w:tc>
          <w:tcPr>
            <w:tcW w:w="11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2016</w:t>
            </w:r>
          </w:p>
        </w:tc>
        <w:tc>
          <w:tcPr>
            <w:tcW w:w="70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2017</w:t>
            </w:r>
          </w:p>
        </w:tc>
        <w:tc>
          <w:tcPr>
            <w:tcW w:w="70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2018</w:t>
            </w:r>
          </w:p>
        </w:tc>
        <w:tc>
          <w:tcPr>
            <w:tcW w:w="710"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2019</w:t>
            </w:r>
          </w:p>
        </w:tc>
      </w:tr>
      <w:tr w:rsidR="00D845E5">
        <w:tblPrEx>
          <w:tblCellMar>
            <w:top w:w="0" w:type="dxa"/>
            <w:bottom w:w="0" w:type="dxa"/>
          </w:tblCellMar>
        </w:tblPrEx>
        <w:trPr>
          <w:gridBefore w:val="1"/>
          <w:wBefore w:w="30" w:type="dxa"/>
          <w:trHeight w:val="1515"/>
          <w:jc w:val="center"/>
        </w:trPr>
        <w:tc>
          <w:tcPr>
            <w:tcW w:w="284"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1</w:t>
            </w:r>
          </w:p>
        </w:tc>
        <w:tc>
          <w:tcPr>
            <w:tcW w:w="496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proofErr w:type="gramStart"/>
            <w:r>
              <w:rPr>
                <w:rFonts w:ascii="Times New Roman CYR" w:hAnsi="Times New Roman CYR" w:cs="Times New Roman CYR"/>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3,98</w:t>
            </w:r>
          </w:p>
        </w:tc>
        <w:tc>
          <w:tcPr>
            <w:tcW w:w="1134"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2,60</w:t>
            </w:r>
          </w:p>
        </w:tc>
        <w:tc>
          <w:tcPr>
            <w:tcW w:w="70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9,77</w:t>
            </w:r>
          </w:p>
        </w:tc>
        <w:tc>
          <w:tcPr>
            <w:tcW w:w="709" w:type="dxa"/>
            <w:tcBorders>
              <w:top w:val="single" w:sz="4" w:space="0" w:color="auto"/>
              <w:left w:val="single" w:sz="4" w:space="0" w:color="auto"/>
              <w:bottom w:val="single" w:sz="4" w:space="0" w:color="auto"/>
              <w:right w:val="single" w:sz="4" w:space="0" w:color="auto"/>
            </w:tcBorders>
            <w:vAlign w:val="center"/>
          </w:tcPr>
          <w:p w:rsidR="00D845E5" w:rsidRDefault="00D845E5" w:rsidP="00093F2E">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4,55</w:t>
            </w:r>
          </w:p>
        </w:tc>
        <w:tc>
          <w:tcPr>
            <w:tcW w:w="710" w:type="dxa"/>
            <w:tcBorders>
              <w:top w:val="single" w:sz="4" w:space="0" w:color="auto"/>
              <w:left w:val="single" w:sz="4" w:space="0" w:color="auto"/>
              <w:bottom w:val="single" w:sz="4" w:space="0" w:color="auto"/>
            </w:tcBorders>
            <w:vAlign w:val="center"/>
          </w:tcPr>
          <w:p w:rsidR="00D845E5" w:rsidRDefault="00D845E5" w:rsidP="00093F2E">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4,55</w:t>
            </w:r>
          </w:p>
        </w:tc>
      </w:tr>
      <w:tr w:rsidR="00D845E5">
        <w:tblPrEx>
          <w:tblCellMar>
            <w:top w:w="0" w:type="dxa"/>
            <w:bottom w:w="0" w:type="dxa"/>
          </w:tblCellMar>
        </w:tblPrEx>
        <w:trPr>
          <w:gridBefore w:val="1"/>
          <w:wBefore w:w="30" w:type="dxa"/>
          <w:jc w:val="center"/>
        </w:trPr>
        <w:tc>
          <w:tcPr>
            <w:tcW w:w="284"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w:t>
            </w:r>
          </w:p>
        </w:tc>
        <w:tc>
          <w:tcPr>
            <w:tcW w:w="496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 xml:space="preserve">численность населения (семей), получившего жилые помещения и улучшившего жилищные условия </w:t>
            </w:r>
            <w:r>
              <w:rPr>
                <w:rFonts w:ascii="Times New Roman CYR" w:hAnsi="Times New Roman CYR" w:cs="Times New Roman CYR"/>
                <w:b/>
                <w:bCs/>
              </w:rPr>
              <w:t>по договору социального найма</w:t>
            </w:r>
            <w:r>
              <w:rPr>
                <w:rFonts w:ascii="Times New Roman CYR" w:hAnsi="Times New Roman CYR" w:cs="Times New Roman CYR"/>
              </w:rPr>
              <w:t xml:space="preserve"> в отчетном году</w:t>
            </w:r>
            <w:r>
              <w:rPr>
                <w:rFonts w:ascii="Times New Roman CYR" w:hAnsi="Times New Roman CYR" w:cs="Times New Roman CYR"/>
                <w:b/>
                <w:bCs/>
              </w:rPr>
              <w:t xml:space="preserve"> </w:t>
            </w:r>
          </w:p>
        </w:tc>
        <w:tc>
          <w:tcPr>
            <w:tcW w:w="127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10</w:t>
            </w:r>
          </w:p>
        </w:tc>
        <w:tc>
          <w:tcPr>
            <w:tcW w:w="710"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11</w:t>
            </w:r>
          </w:p>
        </w:tc>
      </w:tr>
      <w:tr w:rsidR="00D845E5">
        <w:tblPrEx>
          <w:tblCellMar>
            <w:top w:w="0" w:type="dxa"/>
            <w:bottom w:w="0" w:type="dxa"/>
          </w:tblCellMar>
        </w:tblPrEx>
        <w:trPr>
          <w:gridBefore w:val="1"/>
          <w:wBefore w:w="30" w:type="dxa"/>
          <w:jc w:val="center"/>
        </w:trPr>
        <w:tc>
          <w:tcPr>
            <w:tcW w:w="284" w:type="dxa"/>
            <w:tcBorders>
              <w:top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3</w:t>
            </w:r>
          </w:p>
        </w:tc>
        <w:tc>
          <w:tcPr>
            <w:tcW w:w="4960"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 xml:space="preserve">численность населения (семей), состоящего на учете в качестве нуждающегося в жилых помещениях </w:t>
            </w:r>
            <w:r>
              <w:rPr>
                <w:rFonts w:ascii="Times New Roman CYR" w:hAnsi="Times New Roman CYR" w:cs="Times New Roman CYR"/>
                <w:b/>
                <w:bCs/>
              </w:rPr>
              <w:t>по договорам социального найма</w:t>
            </w:r>
            <w:r>
              <w:rPr>
                <w:rFonts w:ascii="Times New Roman CYR" w:hAnsi="Times New Roman CYR" w:cs="Times New Roman CYR"/>
              </w:rPr>
              <w:t xml:space="preserve"> </w:t>
            </w:r>
            <w:r>
              <w:rPr>
                <w:rFonts w:ascii="Times New Roman CYR" w:hAnsi="Times New Roman CYR" w:cs="Times New Roman CYR"/>
                <w:b/>
                <w:bCs/>
              </w:rPr>
              <w:t>на конец прошлого года</w:t>
            </w:r>
            <w:r>
              <w:rPr>
                <w:rFonts w:ascii="Times New Roman CYR" w:hAnsi="Times New Roman CYR" w:cs="Times New Roman CYR"/>
              </w:rPr>
              <w:t xml:space="preserve"> *</w:t>
            </w:r>
          </w:p>
        </w:tc>
        <w:tc>
          <w:tcPr>
            <w:tcW w:w="1276"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226</w:t>
            </w:r>
          </w:p>
        </w:tc>
        <w:tc>
          <w:tcPr>
            <w:tcW w:w="1134"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231</w:t>
            </w:r>
          </w:p>
        </w:tc>
        <w:tc>
          <w:tcPr>
            <w:tcW w:w="70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215</w:t>
            </w:r>
          </w:p>
        </w:tc>
        <w:tc>
          <w:tcPr>
            <w:tcW w:w="709" w:type="dxa"/>
            <w:tcBorders>
              <w:top w:val="single" w:sz="4" w:space="0" w:color="auto"/>
              <w:left w:val="single" w:sz="4" w:space="0" w:color="auto"/>
              <w:bottom w:val="single" w:sz="4" w:space="0" w:color="auto"/>
              <w:right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220</w:t>
            </w:r>
          </w:p>
        </w:tc>
        <w:tc>
          <w:tcPr>
            <w:tcW w:w="710" w:type="dxa"/>
            <w:tcBorders>
              <w:top w:val="single" w:sz="4" w:space="0" w:color="auto"/>
              <w:left w:val="single" w:sz="4" w:space="0" w:color="auto"/>
              <w:bottom w:val="single" w:sz="4" w:space="0" w:color="auto"/>
            </w:tcBorders>
          </w:tcPr>
          <w:p w:rsidR="00D845E5" w:rsidRDefault="00D845E5" w:rsidP="00093F2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220</w:t>
            </w:r>
          </w:p>
        </w:tc>
      </w:tr>
    </w:tbl>
    <w:p w:rsidR="00D845E5" w:rsidRDefault="00D845E5" w:rsidP="00093F2E">
      <w:pPr>
        <w:autoSpaceDE w:val="0"/>
        <w:autoSpaceDN w:val="0"/>
        <w:adjustRightInd w:val="0"/>
        <w:spacing w:after="0" w:line="240" w:lineRule="auto"/>
        <w:ind w:firstLine="720"/>
        <w:jc w:val="both"/>
        <w:rPr>
          <w:rFonts w:ascii="Calibri" w:hAnsi="Calibri" w:cs="Calibri"/>
          <w:sz w:val="28"/>
          <w:szCs w:val="28"/>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VIII. </w:t>
      </w:r>
      <w:r>
        <w:rPr>
          <w:rFonts w:ascii="Times New Roman CYR" w:hAnsi="Times New Roman CYR" w:cs="Times New Roman CYR"/>
          <w:b/>
          <w:bCs/>
          <w:color w:val="000000"/>
          <w:sz w:val="28"/>
          <w:szCs w:val="28"/>
        </w:rPr>
        <w:t>Организация муниципального управления</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Доля налоговых и неналоговых доходов бюджета Новоселовского района в общем объеме доходов без учета субвенций в 2016 году составила 20,7%. и  увеличилась на 4,38%, за счет поступления сельскохозяйственного налога в результате проверки сельскохозяйственного предприятия.</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2017 году и на перспективу до 2019 года планируется  незначительное увеличение данного показателя за счёт уменьшения безвозмездных поступлений.</w:t>
      </w:r>
    </w:p>
    <w:p w:rsidR="004C3386" w:rsidRDefault="004C3386"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4C3386" w:rsidRDefault="004C3386"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4C3386" w:rsidRDefault="004C3386"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4C3386" w:rsidRDefault="004C3386" w:rsidP="00093F2E">
      <w:pPr>
        <w:autoSpaceDE w:val="0"/>
        <w:autoSpaceDN w:val="0"/>
        <w:adjustRightInd w:val="0"/>
        <w:spacing w:after="0" w:line="240" w:lineRule="auto"/>
        <w:ind w:firstLine="708"/>
        <w:jc w:val="both"/>
        <w:rPr>
          <w:rFonts w:ascii="Times New Roman CYR" w:hAnsi="Times New Roman CYR" w:cs="Times New Roman CYR"/>
          <w:sz w:val="28"/>
          <w:szCs w:val="28"/>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317193" w:rsidRDefault="00317193"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D845E5" w:rsidRDefault="00D845E5" w:rsidP="00093F2E">
      <w:pPr>
        <w:autoSpaceDE w:val="0"/>
        <w:autoSpaceDN w:val="0"/>
        <w:adjustRightInd w:val="0"/>
        <w:spacing w:after="0" w:line="240" w:lineRule="auto"/>
        <w:ind w:firstLine="708"/>
        <w:jc w:val="both"/>
        <w:rPr>
          <w:rFonts w:ascii="Arial" w:hAnsi="Arial" w:cs="Arial"/>
          <w:sz w:val="16"/>
          <w:szCs w:val="16"/>
        </w:rPr>
      </w:pPr>
      <w:r>
        <w:rPr>
          <w:rFonts w:ascii="Times New Roman CYR" w:hAnsi="Times New Roman CYR" w:cs="Times New Roman CYR"/>
          <w:sz w:val="28"/>
          <w:szCs w:val="28"/>
        </w:rPr>
        <w:t xml:space="preserve">На территории района на 01.01.2016 года   организаций муниципальной формы собственности, находящихся в стадии банкротства не имеется.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317193" w:rsidRDefault="00317193"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30"/>
          <w:szCs w:val="30"/>
        </w:rPr>
      </w:pPr>
      <w:r>
        <w:rPr>
          <w:rFonts w:ascii="Times New Roman CYR" w:hAnsi="Times New Roman CYR" w:cs="Times New Roman CYR"/>
          <w:sz w:val="28"/>
          <w:szCs w:val="28"/>
        </w:rPr>
        <w:t xml:space="preserve">На территории Новоселовского района объектов незавершенного строительства за счет средств района - нет., так как в 2016 году 16-ти квартирный жилой дом, по адресу: </w:t>
      </w:r>
      <w:proofErr w:type="spellStart"/>
      <w:r>
        <w:rPr>
          <w:rFonts w:ascii="Times New Roman CYR" w:hAnsi="Times New Roman CYR" w:cs="Times New Roman CYR"/>
          <w:sz w:val="30"/>
          <w:szCs w:val="30"/>
        </w:rPr>
        <w:t>с</w:t>
      </w:r>
      <w:proofErr w:type="gramStart"/>
      <w:r>
        <w:rPr>
          <w:rFonts w:ascii="Times New Roman CYR" w:hAnsi="Times New Roman CYR" w:cs="Times New Roman CYR"/>
          <w:sz w:val="30"/>
          <w:szCs w:val="30"/>
        </w:rPr>
        <w:t>.Н</w:t>
      </w:r>
      <w:proofErr w:type="gramEnd"/>
      <w:r>
        <w:rPr>
          <w:rFonts w:ascii="Times New Roman CYR" w:hAnsi="Times New Roman CYR" w:cs="Times New Roman CYR"/>
          <w:sz w:val="30"/>
          <w:szCs w:val="30"/>
        </w:rPr>
        <w:t>овоселово</w:t>
      </w:r>
      <w:proofErr w:type="spellEnd"/>
      <w:r>
        <w:rPr>
          <w:rFonts w:ascii="Times New Roman CYR" w:hAnsi="Times New Roman CYR" w:cs="Times New Roman CYR"/>
          <w:sz w:val="30"/>
          <w:szCs w:val="30"/>
        </w:rPr>
        <w:t xml:space="preserve">, </w:t>
      </w:r>
      <w:proofErr w:type="spellStart"/>
      <w:r>
        <w:rPr>
          <w:rFonts w:ascii="Times New Roman CYR" w:hAnsi="Times New Roman CYR" w:cs="Times New Roman CYR"/>
          <w:sz w:val="30"/>
          <w:szCs w:val="30"/>
        </w:rPr>
        <w:t>ул.Ленина</w:t>
      </w:r>
      <w:proofErr w:type="spellEnd"/>
      <w:r>
        <w:rPr>
          <w:rFonts w:ascii="Times New Roman CYR" w:hAnsi="Times New Roman CYR" w:cs="Times New Roman CYR"/>
          <w:sz w:val="30"/>
          <w:szCs w:val="30"/>
        </w:rPr>
        <w:t xml:space="preserve"> 7а в 2016 году был сдан в эксплуатацию.</w:t>
      </w:r>
    </w:p>
    <w:p w:rsidR="00D845E5" w:rsidRDefault="00D845E5" w:rsidP="00093F2E">
      <w:pPr>
        <w:autoSpaceDE w:val="0"/>
        <w:autoSpaceDN w:val="0"/>
        <w:adjustRightInd w:val="0"/>
        <w:spacing w:after="0" w:line="240" w:lineRule="auto"/>
        <w:jc w:val="both"/>
        <w:rPr>
          <w:rFonts w:ascii="Times New Roman CYR" w:hAnsi="Times New Roman CYR" w:cs="Times New Roman CYR"/>
          <w:sz w:val="30"/>
          <w:szCs w:val="30"/>
        </w:rPr>
      </w:pP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 составляет 0%,так как кредиторской задолженности по оплате труда не имеется.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D845E5" w:rsidRDefault="00D845E5" w:rsidP="00093F2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2016 году уменьшились на 19,67 рублей и составили 3682,3 рубля. В 2017 - 2019 годах значение данного показателя планируется с незначительным увеличением за счёт снижения численности населения и планируемого незначительного увеличения расходов бюджета </w:t>
      </w:r>
      <w:r>
        <w:rPr>
          <w:rFonts w:ascii="Times New Roman CYR" w:hAnsi="Times New Roman CYR" w:cs="Times New Roman CYR"/>
          <w:sz w:val="28"/>
          <w:szCs w:val="28"/>
        </w:rPr>
        <w:lastRenderedPageBreak/>
        <w:t xml:space="preserve">муниципального образования на содержание работников органов местного самоуправления.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21.12.2012 года Решением Новоселовского районного Совета депутатов была  утверждена схема территориального планирования Новоселовского  района. </w:t>
      </w:r>
    </w:p>
    <w:p w:rsidR="00D845E5" w:rsidRDefault="00D845E5" w:rsidP="00093F2E">
      <w:pPr>
        <w:autoSpaceDE w:val="0"/>
        <w:autoSpaceDN w:val="0"/>
        <w:adjustRightInd w:val="0"/>
        <w:spacing w:after="0" w:line="240" w:lineRule="auto"/>
        <w:jc w:val="both"/>
        <w:rPr>
          <w:rFonts w:ascii="Arial CYR" w:hAnsi="Arial CYR" w:cs="Arial CYR"/>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37.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населения деятельностью органов местного самоуправления в 2016 году составила 73,8%, что выше показателя прошлого года на 7,8%.</w:t>
      </w:r>
    </w:p>
    <w:p w:rsidR="00D845E5" w:rsidRDefault="00D845E5" w:rsidP="00093F2E">
      <w:pPr>
        <w:autoSpaceDE w:val="0"/>
        <w:autoSpaceDN w:val="0"/>
        <w:adjustRightInd w:val="0"/>
        <w:spacing w:after="0" w:line="240" w:lineRule="auto"/>
        <w:jc w:val="both"/>
        <w:rPr>
          <w:rFonts w:ascii="Arial CYR" w:hAnsi="Arial CYR" w:cs="Arial CYR"/>
          <w:sz w:val="16"/>
          <w:szCs w:val="16"/>
        </w:rPr>
      </w:pP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постоянного населения за 2016 год составила - 13179 человек и уменьшилась к уровню прошлого года на 86 человек. В перспективе планируется незначительное снижение показателя и к 2019 году планируемая численность населения составит - 12979 человека.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IX. </w:t>
      </w:r>
      <w:r>
        <w:rPr>
          <w:rFonts w:ascii="Times New Roman CYR" w:hAnsi="Times New Roman CYR" w:cs="Times New Roman CYR"/>
          <w:b/>
          <w:bCs/>
          <w:color w:val="000000"/>
          <w:sz w:val="28"/>
          <w:szCs w:val="28"/>
        </w:rPr>
        <w:t>Энергосбережение и повышение энергетической эффективности</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39.1:электрическая энергия</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уменьшение  потребления электрической энергии в многоквартирных домах в расчете на 1 проживающего человека уменьшилось на 78,47кВтч и составило 1280,3 </w:t>
      </w:r>
      <w:proofErr w:type="spellStart"/>
      <w:r>
        <w:rPr>
          <w:rFonts w:ascii="Times New Roman CYR" w:hAnsi="Times New Roman CYR" w:cs="Times New Roman CYR"/>
          <w:sz w:val="28"/>
          <w:szCs w:val="28"/>
        </w:rPr>
        <w:t>кВтч</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Уменьшениее</w:t>
      </w:r>
      <w:proofErr w:type="spellEnd"/>
      <w:r>
        <w:rPr>
          <w:rFonts w:ascii="Times New Roman CYR" w:hAnsi="Times New Roman CYR" w:cs="Times New Roman CYR"/>
          <w:sz w:val="28"/>
          <w:szCs w:val="28"/>
        </w:rPr>
        <w:t xml:space="preserve"> за счет увеличения </w:t>
      </w:r>
      <w:proofErr w:type="gramStart"/>
      <w:r>
        <w:rPr>
          <w:rFonts w:ascii="Times New Roman CYR" w:hAnsi="Times New Roman CYR" w:cs="Times New Roman CYR"/>
          <w:sz w:val="28"/>
          <w:szCs w:val="28"/>
        </w:rPr>
        <w:t>проживающих</w:t>
      </w:r>
      <w:proofErr w:type="gramEnd"/>
      <w:r>
        <w:rPr>
          <w:rFonts w:ascii="Times New Roman CYR" w:hAnsi="Times New Roman CYR" w:cs="Times New Roman CYR"/>
          <w:sz w:val="28"/>
          <w:szCs w:val="28"/>
        </w:rPr>
        <w:t xml:space="preserve"> в МКД на 184 человека.  В перспективе до 2019 года значение показателя планируется сохранить на уровне 2016 года. </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39.2 тепловая энергия:</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потребления тепловой энергии в 2016 и 2017гг.</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связи с увеличением нормативов потребления с 01.07.2016 г., в 2018 – 2019 гг. планируется сохранить показатель на уровне 2017 года.;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39.3 горячая вода: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снижение объемов потребления ГВС в связи с установкой приборов учета;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39.4 холодная вода:</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снижение объемов потребления холодной воды в связи с установкой приборов учетов,</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39.5</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территории Новоселовского района в многоквартирных домах природный газ не потребляется. </w:t>
      </w:r>
    </w:p>
    <w:p w:rsidR="00D845E5" w:rsidRDefault="00D845E5" w:rsidP="00093F2E">
      <w:pPr>
        <w:autoSpaceDE w:val="0"/>
        <w:autoSpaceDN w:val="0"/>
        <w:adjustRightInd w:val="0"/>
        <w:spacing w:after="0" w:line="240" w:lineRule="auto"/>
        <w:jc w:val="both"/>
        <w:rPr>
          <w:rFonts w:ascii="Arial" w:hAnsi="Arial" w:cs="Arial"/>
          <w:sz w:val="16"/>
          <w:szCs w:val="16"/>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40.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энергетических ресурсов муниципальными бюджетными учреждениями по энергоресурсам: электрическая энергия и холодная вода - имеет положительную динамику, т.е. потребление в 2016 году к уровню 2015 года  по данным энергоресурсам уменьшается.</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показателю 40.1.  За 2016 год потребление электроэнергии бюджетными учреждениями составило - 3664914кВтч, численность  населения составила - 13179, следовательно</w:t>
      </w:r>
      <w:r w:rsidR="00093F2E">
        <w:rPr>
          <w:rFonts w:ascii="Times New Roman CYR" w:hAnsi="Times New Roman CYR" w:cs="Times New Roman CYR"/>
          <w:sz w:val="28"/>
          <w:szCs w:val="28"/>
        </w:rPr>
        <w:t>,</w:t>
      </w:r>
      <w:r>
        <w:rPr>
          <w:rFonts w:ascii="Times New Roman CYR" w:hAnsi="Times New Roman CYR" w:cs="Times New Roman CYR"/>
          <w:sz w:val="28"/>
          <w:szCs w:val="28"/>
        </w:rPr>
        <w:t xml:space="preserve"> удельная величина потребления электрической энергии кВт/</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 xml:space="preserve"> на 1 человека населения   составила 278,1кВт/ч на 1 человека населения и уменьшилась на 5,6% (15,7 кВт/ч).  На перспективу до 2019 года данный показатель планируется сохранить на уровне 2016 года.</w:t>
      </w:r>
    </w:p>
    <w:p w:rsidR="00D845E5" w:rsidRDefault="00D845E5" w:rsidP="00093F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показателю 40.2 За 2016 год потребление тепловой энергии бюджетными учреждениями составило - 7660,1Гкал, общая площадь зданий с</w:t>
      </w:r>
      <w:r w:rsidR="00093F2E">
        <w:rPr>
          <w:rFonts w:ascii="Times New Roman CYR" w:hAnsi="Times New Roman CYR" w:cs="Times New Roman CYR"/>
          <w:sz w:val="28"/>
          <w:szCs w:val="28"/>
        </w:rPr>
        <w:t>о</w:t>
      </w:r>
      <w:r>
        <w:rPr>
          <w:rFonts w:ascii="Times New Roman CYR" w:hAnsi="Times New Roman CYR" w:cs="Times New Roman CYR"/>
          <w:sz w:val="28"/>
          <w:szCs w:val="28"/>
        </w:rPr>
        <w:t>ставляет - 30830м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следовательно удельная величина потребления тепловой энергии муниципальными бюджетными учреждениями (Гкал на 1 кв. метр общей площади) со</w:t>
      </w:r>
      <w:r w:rsidR="00093F2E">
        <w:rPr>
          <w:rFonts w:ascii="Times New Roman CYR" w:hAnsi="Times New Roman CYR" w:cs="Times New Roman CYR"/>
          <w:sz w:val="28"/>
          <w:szCs w:val="28"/>
        </w:rPr>
        <w:t>с</w:t>
      </w:r>
      <w:r>
        <w:rPr>
          <w:rFonts w:ascii="Times New Roman CYR" w:hAnsi="Times New Roman CYR" w:cs="Times New Roman CYR"/>
          <w:sz w:val="28"/>
          <w:szCs w:val="28"/>
        </w:rPr>
        <w:t>тавила 0,25 Гкал на 1 кв. метр общей площади и увеличилась к уровню 2015 года 13,6% 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Увеличение связано с вводом в эксплуатацию детского сада в с. </w:t>
      </w:r>
      <w:proofErr w:type="spellStart"/>
      <w:r>
        <w:rPr>
          <w:rFonts w:ascii="Times New Roman CYR" w:hAnsi="Times New Roman CYR" w:cs="Times New Roman CYR"/>
          <w:sz w:val="28"/>
          <w:szCs w:val="28"/>
        </w:rPr>
        <w:t>Светлолобово</w:t>
      </w:r>
      <w:proofErr w:type="spellEnd"/>
      <w:r>
        <w:rPr>
          <w:rFonts w:ascii="Times New Roman CYR" w:hAnsi="Times New Roman CYR" w:cs="Times New Roman CYR"/>
          <w:sz w:val="28"/>
          <w:szCs w:val="28"/>
        </w:rPr>
        <w:t>, общей площадью 2048м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В 2017 году планируется незначительное уменьшение данного показателя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на 0,01Гкал на 1 кв. метр общей площади) и до 2019 года планируется без изменения.</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 показателю 40.3</w:t>
      </w:r>
      <w:proofErr w:type="gramStart"/>
      <w:r>
        <w:rPr>
          <w:rFonts w:ascii="Times New Roman CYR" w:hAnsi="Times New Roman CYR" w:cs="Times New Roman CYR"/>
          <w:sz w:val="28"/>
          <w:szCs w:val="28"/>
        </w:rPr>
        <w:t xml:space="preserve"> З</w:t>
      </w:r>
      <w:proofErr w:type="gramEnd"/>
      <w:r>
        <w:rPr>
          <w:rFonts w:ascii="Times New Roman CYR" w:hAnsi="Times New Roman CYR" w:cs="Times New Roman CYR"/>
          <w:sz w:val="28"/>
          <w:szCs w:val="28"/>
        </w:rPr>
        <w:t>а 2016 год потребление горячей воды бюджетными учреждениями составило - 1379,77м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 xml:space="preserve"> численность  населения составила - 13179, следовательно удельная величина потребления горячей воды куб. метров на 1 человека населения составила 0,1 и увеличилась на 11% . Увеличение за счет большего потребления ГВС объектами образования и уменьшение среднегодовой численности населения. В 2017 году планируемое  уменьшение данного показателя составит -  0,01куб. метр и до 2019 года планируется без изменения.</w:t>
      </w:r>
    </w:p>
    <w:p w:rsidR="00D845E5" w:rsidRDefault="00D845E5" w:rsidP="00093F2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 показателю 40.4 .  За 2016 год потребление холодной воды бюджетными учреждениями составило - 20727,37 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численность  населения составила - 13179, </w:t>
      </w:r>
      <w:proofErr w:type="gramStart"/>
      <w:r>
        <w:rPr>
          <w:rFonts w:ascii="Times New Roman CYR" w:hAnsi="Times New Roman CYR" w:cs="Times New Roman CYR"/>
          <w:sz w:val="28"/>
          <w:szCs w:val="28"/>
        </w:rPr>
        <w:t>следовательно</w:t>
      </w:r>
      <w:proofErr w:type="gramEnd"/>
      <w:r>
        <w:rPr>
          <w:rFonts w:ascii="Times New Roman CYR" w:hAnsi="Times New Roman CYR" w:cs="Times New Roman CYR"/>
          <w:sz w:val="28"/>
          <w:szCs w:val="28"/>
        </w:rPr>
        <w:t xml:space="preserve"> удельная величина потребления холодной </w:t>
      </w:r>
      <w:r>
        <w:rPr>
          <w:rFonts w:ascii="Times New Roman CYR" w:hAnsi="Times New Roman CYR" w:cs="Times New Roman CYR"/>
          <w:sz w:val="28"/>
          <w:szCs w:val="28"/>
        </w:rPr>
        <w:lastRenderedPageBreak/>
        <w:t>воды куб. метров на 1 человека населения составила 1,57 куб. метра и уменьшилась на 0,22 куб. метра и на 1 человека населения. В 2017 и 2018 гг. году планируется незначительное уменьшение данного показателя на 0,01куб. метр и до 2019 года планируется без изменения.</w:t>
      </w:r>
    </w:p>
    <w:p w:rsidR="00D845E5" w:rsidRDefault="00D845E5" w:rsidP="00093F2E">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Показатель 40.5 «Природный газ» - природный газ бюджетными учреждениями не потребляется</w:t>
      </w: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D845E5" w:rsidRDefault="00D845E5" w:rsidP="00093F2E">
      <w:pPr>
        <w:autoSpaceDE w:val="0"/>
        <w:autoSpaceDN w:val="0"/>
        <w:adjustRightInd w:val="0"/>
        <w:spacing w:after="0" w:line="240" w:lineRule="auto"/>
        <w:jc w:val="both"/>
        <w:rPr>
          <w:rFonts w:ascii="Arial" w:hAnsi="Arial" w:cs="Arial"/>
          <w:sz w:val="20"/>
          <w:szCs w:val="20"/>
        </w:rPr>
      </w:pPr>
    </w:p>
    <w:p w:rsidR="00D845E5" w:rsidRDefault="00D845E5" w:rsidP="00093F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3160F2" w:rsidRPr="00093F2E" w:rsidRDefault="00093F2E" w:rsidP="00093F2E">
      <w:pPr>
        <w:jc w:val="both"/>
        <w:rPr>
          <w:rFonts w:ascii="Times New Roman" w:hAnsi="Times New Roman" w:cs="Times New Roman"/>
          <w:sz w:val="28"/>
          <w:szCs w:val="28"/>
        </w:rPr>
      </w:pPr>
      <w:r w:rsidRPr="00093F2E">
        <w:rPr>
          <w:rFonts w:ascii="Times New Roman" w:hAnsi="Times New Roman" w:cs="Times New Roman"/>
          <w:sz w:val="28"/>
          <w:szCs w:val="28"/>
        </w:rPr>
        <w:t>Глава района</w:t>
      </w:r>
      <w:r>
        <w:rPr>
          <w:rFonts w:ascii="Times New Roman" w:hAnsi="Times New Roman" w:cs="Times New Roman"/>
          <w:sz w:val="28"/>
          <w:szCs w:val="28"/>
        </w:rPr>
        <w:t xml:space="preserve">                                                                                        А.В. </w:t>
      </w:r>
      <w:proofErr w:type="spellStart"/>
      <w:r>
        <w:rPr>
          <w:rFonts w:ascii="Times New Roman" w:hAnsi="Times New Roman" w:cs="Times New Roman"/>
          <w:sz w:val="28"/>
          <w:szCs w:val="28"/>
        </w:rPr>
        <w:t>Гергарт</w:t>
      </w:r>
      <w:proofErr w:type="spellEnd"/>
    </w:p>
    <w:sectPr w:rsidR="003160F2" w:rsidRPr="00093F2E" w:rsidSect="009E6E23">
      <w:footerReference w:type="default" r:id="rId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DD" w:rsidRDefault="00A60EDD" w:rsidP="00093F2E">
      <w:pPr>
        <w:spacing w:after="0" w:line="240" w:lineRule="auto"/>
      </w:pPr>
      <w:r>
        <w:separator/>
      </w:r>
    </w:p>
  </w:endnote>
  <w:endnote w:type="continuationSeparator" w:id="0">
    <w:p w:rsidR="00A60EDD" w:rsidRDefault="00A60EDD" w:rsidP="0009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Times New Roman TUR">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131250"/>
      <w:docPartObj>
        <w:docPartGallery w:val="Page Numbers (Bottom of Page)"/>
        <w:docPartUnique/>
      </w:docPartObj>
    </w:sdtPr>
    <w:sdtContent>
      <w:p w:rsidR="00093F2E" w:rsidRDefault="00093F2E">
        <w:pPr>
          <w:pStyle w:val="a5"/>
          <w:jc w:val="right"/>
        </w:pPr>
        <w:r>
          <w:fldChar w:fldCharType="begin"/>
        </w:r>
        <w:r>
          <w:instrText>PAGE   \* MERGEFORMAT</w:instrText>
        </w:r>
        <w:r>
          <w:fldChar w:fldCharType="separate"/>
        </w:r>
        <w:r w:rsidR="00E700E4">
          <w:rPr>
            <w:noProof/>
          </w:rPr>
          <w:t>25</w:t>
        </w:r>
        <w:r>
          <w:fldChar w:fldCharType="end"/>
        </w:r>
      </w:p>
    </w:sdtContent>
  </w:sdt>
  <w:p w:rsidR="00093F2E" w:rsidRDefault="00093F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DD" w:rsidRDefault="00A60EDD" w:rsidP="00093F2E">
      <w:pPr>
        <w:spacing w:after="0" w:line="240" w:lineRule="auto"/>
      </w:pPr>
      <w:r>
        <w:separator/>
      </w:r>
    </w:p>
  </w:footnote>
  <w:footnote w:type="continuationSeparator" w:id="0">
    <w:p w:rsidR="00A60EDD" w:rsidRDefault="00A60EDD" w:rsidP="00093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E5"/>
    <w:rsid w:val="00093F2E"/>
    <w:rsid w:val="0017303E"/>
    <w:rsid w:val="001D2C53"/>
    <w:rsid w:val="002E4A81"/>
    <w:rsid w:val="003160F2"/>
    <w:rsid w:val="00317193"/>
    <w:rsid w:val="004C3386"/>
    <w:rsid w:val="0064587D"/>
    <w:rsid w:val="00892A3E"/>
    <w:rsid w:val="00A60EDD"/>
    <w:rsid w:val="00D67C20"/>
    <w:rsid w:val="00D80063"/>
    <w:rsid w:val="00D845E5"/>
    <w:rsid w:val="00E70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F2E"/>
  </w:style>
  <w:style w:type="paragraph" w:styleId="a5">
    <w:name w:val="footer"/>
    <w:basedOn w:val="a"/>
    <w:link w:val="a6"/>
    <w:uiPriority w:val="99"/>
    <w:unhideWhenUsed/>
    <w:rsid w:val="00093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F2E"/>
  </w:style>
  <w:style w:type="paragraph" w:styleId="a7">
    <w:name w:val="Balloon Text"/>
    <w:basedOn w:val="a"/>
    <w:link w:val="a8"/>
    <w:uiPriority w:val="99"/>
    <w:semiHidden/>
    <w:unhideWhenUsed/>
    <w:rsid w:val="00E700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0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3F2E"/>
  </w:style>
  <w:style w:type="paragraph" w:styleId="a5">
    <w:name w:val="footer"/>
    <w:basedOn w:val="a"/>
    <w:link w:val="a6"/>
    <w:uiPriority w:val="99"/>
    <w:unhideWhenUsed/>
    <w:rsid w:val="00093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3F2E"/>
  </w:style>
  <w:style w:type="paragraph" w:styleId="a7">
    <w:name w:val="Balloon Text"/>
    <w:basedOn w:val="a"/>
    <w:link w:val="a8"/>
    <w:uiPriority w:val="99"/>
    <w:semiHidden/>
    <w:unhideWhenUsed/>
    <w:rsid w:val="00E700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0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7554</Words>
  <Characters>43060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Елена Васильевна</cp:lastModifiedBy>
  <cp:revision>2</cp:revision>
  <cp:lastPrinted>2017-04-28T03:33:00Z</cp:lastPrinted>
  <dcterms:created xsi:type="dcterms:W3CDTF">2017-04-28T00:55:00Z</dcterms:created>
  <dcterms:modified xsi:type="dcterms:W3CDTF">2017-04-28T03:39:00Z</dcterms:modified>
</cp:coreProperties>
</file>